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290A" w14:textId="2C278279" w:rsidR="00EE3B0A" w:rsidRPr="00503788" w:rsidRDefault="006213D3" w:rsidP="00575B38">
      <w:pPr>
        <w:rPr>
          <w:b/>
          <w:bCs/>
          <w:sz w:val="32"/>
          <w:szCs w:val="32"/>
        </w:rPr>
      </w:pPr>
      <w:r w:rsidRPr="00503788">
        <w:rPr>
          <w:b/>
          <w:bCs/>
          <w:sz w:val="32"/>
          <w:szCs w:val="32"/>
        </w:rPr>
        <w:t>WorkSource Washington</w:t>
      </w:r>
      <w:r w:rsidR="00EE3B0A" w:rsidRPr="00503788">
        <w:rPr>
          <w:b/>
          <w:bCs/>
          <w:sz w:val="32"/>
          <w:szCs w:val="32"/>
        </w:rPr>
        <w:t xml:space="preserve"> Job Match</w:t>
      </w:r>
      <w:r w:rsidR="00373145">
        <w:rPr>
          <w:b/>
          <w:bCs/>
          <w:sz w:val="32"/>
          <w:szCs w:val="32"/>
        </w:rPr>
        <w:t xml:space="preserve"> Syste</w:t>
      </w:r>
      <w:r w:rsidR="00F37E70">
        <w:rPr>
          <w:b/>
          <w:bCs/>
          <w:sz w:val="32"/>
          <w:szCs w:val="32"/>
        </w:rPr>
        <w:t>m</w:t>
      </w:r>
    </w:p>
    <w:p w14:paraId="53222846" w14:textId="14068334" w:rsidR="003D0B67" w:rsidRDefault="00812803" w:rsidP="00575B38">
      <w:r w:rsidRPr="00812803">
        <w:t>Washington's award-winning job board employment website</w:t>
      </w:r>
      <w:r w:rsidR="002463CA">
        <w:t>,</w:t>
      </w:r>
      <w:r w:rsidR="00444F82">
        <w:t xml:space="preserve"> W</w:t>
      </w:r>
      <w:r w:rsidR="006213D3" w:rsidRPr="006213D3">
        <w:t xml:space="preserve">orkSourceWA.com </w:t>
      </w:r>
      <w:r w:rsidR="008C2589">
        <w:t xml:space="preserve">(WSWA) </w:t>
      </w:r>
      <w:r w:rsidR="006213D3" w:rsidRPr="006213D3">
        <w:t>is provided as a service to job seekers and employers in the state of Washington for informational purposes related to employment and job search only. Use of this service is limited to individual job seekers and employers who agree to hold the State of Washington and the Employment Security Department (ESD) harmless for any use of the information for reasons other than the stated purpose.</w:t>
      </w:r>
    </w:p>
    <w:p w14:paraId="1D6BFECC" w14:textId="77777777" w:rsidR="008C2589" w:rsidRDefault="008C2589" w:rsidP="008C2589">
      <w:pPr>
        <w:rPr>
          <w:b/>
          <w:bCs/>
          <w:sz w:val="28"/>
          <w:szCs w:val="28"/>
        </w:rPr>
      </w:pPr>
      <w:r w:rsidRPr="00104E3F">
        <w:rPr>
          <w:b/>
          <w:bCs/>
          <w:sz w:val="28"/>
          <w:szCs w:val="28"/>
        </w:rPr>
        <w:t>Employer Record Structure</w:t>
      </w:r>
    </w:p>
    <w:p w14:paraId="050B50BC" w14:textId="5BC900CF" w:rsidR="0030793D" w:rsidRDefault="0030793D" w:rsidP="0030793D">
      <w:r>
        <w:t xml:space="preserve">Employers have the ability to create a </w:t>
      </w:r>
      <w:r w:rsidR="00E36F78">
        <w:t>WSWA</w:t>
      </w:r>
      <w:r>
        <w:t xml:space="preserve"> account on Employment Security Department’s job match website. </w:t>
      </w:r>
      <w:r w:rsidR="00E36F78">
        <w:t>C</w:t>
      </w:r>
      <w:r w:rsidR="00C74F29">
        <w:t xml:space="preserve">reating </w:t>
      </w:r>
      <w:r>
        <w:t xml:space="preserve">a </w:t>
      </w:r>
      <w:r w:rsidR="00E36F78">
        <w:t>WSWA employer</w:t>
      </w:r>
      <w:r>
        <w:t xml:space="preserve"> account </w:t>
      </w:r>
      <w:r w:rsidR="0037520D">
        <w:t>es</w:t>
      </w:r>
      <w:r w:rsidR="0068548C">
        <w:t>tablishes</w:t>
      </w:r>
      <w:r w:rsidR="008D28AB">
        <w:t xml:space="preserve"> three account types described in the following structure:</w:t>
      </w:r>
    </w:p>
    <w:p w14:paraId="4F04F473" w14:textId="77777777" w:rsidR="001662D9" w:rsidRPr="005503F6" w:rsidRDefault="001662D9" w:rsidP="00575B38">
      <w:pPr>
        <w:pStyle w:val="ListParagraph"/>
        <w:numPr>
          <w:ilvl w:val="0"/>
          <w:numId w:val="1"/>
        </w:numPr>
      </w:pPr>
      <w:r w:rsidRPr="00F176BB">
        <w:rPr>
          <w:i/>
        </w:rPr>
        <w:t>Company Entity</w:t>
      </w:r>
      <w:r w:rsidR="00F176BB">
        <w:t xml:space="preserve"> is the primary record. Think of this as the headquarters building.</w:t>
      </w:r>
    </w:p>
    <w:p w14:paraId="4F04F474" w14:textId="77777777" w:rsidR="001662D9" w:rsidRPr="00F176BB" w:rsidRDefault="001662D9" w:rsidP="00575B38">
      <w:pPr>
        <w:pStyle w:val="ListParagraph"/>
        <w:numPr>
          <w:ilvl w:val="0"/>
          <w:numId w:val="1"/>
        </w:numPr>
        <w:rPr>
          <w:i/>
        </w:rPr>
      </w:pPr>
      <w:r w:rsidRPr="00F176BB">
        <w:rPr>
          <w:i/>
        </w:rPr>
        <w:t>Sub-Entity</w:t>
      </w:r>
      <w:r w:rsidR="00F176BB">
        <w:rPr>
          <w:i/>
        </w:rPr>
        <w:t xml:space="preserve"> </w:t>
      </w:r>
      <w:r w:rsidR="00F176BB">
        <w:t xml:space="preserve">is the next level of record related to the </w:t>
      </w:r>
      <w:r w:rsidR="00F176BB" w:rsidRPr="00F176BB">
        <w:rPr>
          <w:i/>
        </w:rPr>
        <w:t>Company Entity</w:t>
      </w:r>
      <w:r w:rsidR="00F176BB">
        <w:t xml:space="preserve">. Think of this as the worksite. If there is more than one worksite, there can be more than one </w:t>
      </w:r>
      <w:r w:rsidR="00F176BB" w:rsidRPr="00F176BB">
        <w:rPr>
          <w:i/>
        </w:rPr>
        <w:t>Sub-Entity</w:t>
      </w:r>
      <w:r w:rsidR="00F176BB">
        <w:t xml:space="preserve"> record under a </w:t>
      </w:r>
      <w:r w:rsidR="00F176BB" w:rsidRPr="00F176BB">
        <w:rPr>
          <w:i/>
        </w:rPr>
        <w:t>Company Entity</w:t>
      </w:r>
    </w:p>
    <w:p w14:paraId="4F04F475" w14:textId="77777777" w:rsidR="001662D9" w:rsidRPr="00F176BB" w:rsidRDefault="001662D9" w:rsidP="00575B38">
      <w:pPr>
        <w:pStyle w:val="ListParagraph"/>
        <w:numPr>
          <w:ilvl w:val="0"/>
          <w:numId w:val="1"/>
        </w:numPr>
        <w:rPr>
          <w:i/>
        </w:rPr>
      </w:pPr>
      <w:r w:rsidRPr="00F176BB">
        <w:rPr>
          <w:i/>
        </w:rPr>
        <w:t>Recruiter</w:t>
      </w:r>
      <w:r w:rsidR="00F176BB">
        <w:rPr>
          <w:i/>
        </w:rPr>
        <w:t xml:space="preserve"> </w:t>
      </w:r>
      <w:r w:rsidR="00F176BB" w:rsidRPr="00F176BB">
        <w:t>represents a person within the company.</w:t>
      </w:r>
    </w:p>
    <w:p w14:paraId="4F04F476" w14:textId="4420D711" w:rsidR="00F176BB" w:rsidRDefault="00F176BB" w:rsidP="00F176BB">
      <w:pPr>
        <w:pStyle w:val="ListParagraph"/>
      </w:pPr>
      <w:r>
        <w:rPr>
          <w:noProof/>
        </w:rPr>
        <w:drawing>
          <wp:inline distT="0" distB="0" distL="0" distR="0" wp14:anchorId="4F04F48B" wp14:editId="4AFB9EA2">
            <wp:extent cx="3321996" cy="154068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85065" cy="1569934"/>
                    </a:xfrm>
                    <a:prstGeom prst="rect">
                      <a:avLst/>
                    </a:prstGeom>
                  </pic:spPr>
                </pic:pic>
              </a:graphicData>
            </a:graphic>
          </wp:inline>
        </w:drawing>
      </w:r>
      <w:r w:rsidR="00E06187">
        <w:t>+</w:t>
      </w:r>
    </w:p>
    <w:p w14:paraId="4F04F478" w14:textId="621B00E2" w:rsidR="001662D9" w:rsidRDefault="001662D9" w:rsidP="00B11718">
      <w:pPr>
        <w:rPr>
          <w:b/>
          <w:bCs/>
          <w:sz w:val="28"/>
          <w:szCs w:val="28"/>
        </w:rPr>
      </w:pPr>
      <w:r w:rsidRPr="00B11718">
        <w:rPr>
          <w:b/>
          <w:bCs/>
          <w:sz w:val="28"/>
          <w:szCs w:val="28"/>
        </w:rPr>
        <w:t xml:space="preserve">Employer </w:t>
      </w:r>
      <w:r w:rsidR="00C01503">
        <w:rPr>
          <w:b/>
          <w:bCs/>
          <w:sz w:val="28"/>
          <w:szCs w:val="28"/>
        </w:rPr>
        <w:t xml:space="preserve">or Recruiter </w:t>
      </w:r>
      <w:r w:rsidRPr="00B11718">
        <w:rPr>
          <w:b/>
          <w:bCs/>
          <w:sz w:val="28"/>
          <w:szCs w:val="28"/>
        </w:rPr>
        <w:t>search</w:t>
      </w:r>
    </w:p>
    <w:p w14:paraId="5DB4C68F" w14:textId="53704D72" w:rsidR="00CB2A89" w:rsidRDefault="00FC039E" w:rsidP="006A0B8C">
      <w:pPr>
        <w:spacing w:after="0"/>
      </w:pPr>
      <w:r>
        <w:t>You can search for a</w:t>
      </w:r>
      <w:r w:rsidR="00BC4FF1">
        <w:t>n</w:t>
      </w:r>
      <w:r>
        <w:t xml:space="preserve"> </w:t>
      </w:r>
      <w:r w:rsidR="00A6344C">
        <w:t xml:space="preserve">employer by </w:t>
      </w:r>
      <w:r w:rsidR="00214ED0">
        <w:t>company</w:t>
      </w:r>
      <w:r w:rsidR="00522215">
        <w:t xml:space="preserve"> or </w:t>
      </w:r>
      <w:r w:rsidR="00214ED0">
        <w:t>recruiter name</w:t>
      </w:r>
      <w:r w:rsidR="007556CA">
        <w:t xml:space="preserve">, </w:t>
      </w:r>
      <w:r w:rsidR="00E17400">
        <w:t xml:space="preserve">company ‘X’ code or </w:t>
      </w:r>
      <w:r w:rsidR="00261500">
        <w:t>recruiter</w:t>
      </w:r>
      <w:r w:rsidR="00B8068D">
        <w:t xml:space="preserve"> ID number.</w:t>
      </w:r>
      <w:r w:rsidR="00A137D9">
        <w:t xml:space="preserve"> </w:t>
      </w:r>
    </w:p>
    <w:p w14:paraId="27601F2E" w14:textId="77777777" w:rsidR="006A0B8C" w:rsidRDefault="006A0B8C" w:rsidP="006A0B8C">
      <w:pPr>
        <w:spacing w:after="0"/>
      </w:pPr>
    </w:p>
    <w:p w14:paraId="37C606DC" w14:textId="77777777" w:rsidR="00C9064A" w:rsidRDefault="00A137D9" w:rsidP="00B11718">
      <w:r>
        <w:t>Log into ETO to begin searching</w:t>
      </w:r>
      <w:r w:rsidR="00B16B59">
        <w:t xml:space="preserve"> by</w:t>
      </w:r>
      <w:r w:rsidR="007E52ED">
        <w:t xml:space="preserve"> entering information in Quick Search</w:t>
      </w:r>
      <w:r w:rsidR="00B24931">
        <w:t>:</w:t>
      </w:r>
      <w:r w:rsidR="009660D8">
        <w:t xml:space="preserve"> </w:t>
      </w:r>
    </w:p>
    <w:p w14:paraId="7EF73924" w14:textId="588D8104" w:rsidR="00FB790A" w:rsidRDefault="00CE19D0" w:rsidP="00CE19D0">
      <w:pPr>
        <w:pStyle w:val="ListParagraph"/>
        <w:numPr>
          <w:ilvl w:val="0"/>
          <w:numId w:val="6"/>
        </w:numPr>
      </w:pPr>
      <w:r w:rsidRPr="00CE19D0">
        <w:t>Enter company or recruiter name, company 'X' code, ID number</w:t>
      </w:r>
    </w:p>
    <w:p w14:paraId="6ECEE884" w14:textId="1D79A042" w:rsidR="00CE19D0" w:rsidRDefault="00DC014D" w:rsidP="00CE19D0">
      <w:pPr>
        <w:pStyle w:val="ListParagraph"/>
        <w:numPr>
          <w:ilvl w:val="0"/>
          <w:numId w:val="6"/>
        </w:numPr>
      </w:pPr>
      <w:r>
        <w:t xml:space="preserve">Toggle the </w:t>
      </w:r>
      <w:r w:rsidR="00492839">
        <w:t xml:space="preserve">‘Within’ field from </w:t>
      </w:r>
      <w:r w:rsidR="00A96040">
        <w:t>Participant to Entities</w:t>
      </w:r>
    </w:p>
    <w:p w14:paraId="267AE372" w14:textId="6F67A2FC" w:rsidR="00B71488" w:rsidRDefault="00B71488" w:rsidP="00CE19D0">
      <w:pPr>
        <w:pStyle w:val="ListParagraph"/>
        <w:numPr>
          <w:ilvl w:val="0"/>
          <w:numId w:val="6"/>
        </w:numPr>
      </w:pPr>
      <w:r>
        <w:t xml:space="preserve">Change the ‘In’ field from your active office to ‘WorkSource’ to search the entire </w:t>
      </w:r>
      <w:r w:rsidR="002A4FBB">
        <w:t xml:space="preserve">ETO system for </w:t>
      </w:r>
      <w:r w:rsidR="00F7509D">
        <w:t xml:space="preserve">the </w:t>
      </w:r>
      <w:r w:rsidR="006C5DDC">
        <w:t>company or recruiter</w:t>
      </w:r>
    </w:p>
    <w:p w14:paraId="068DD347" w14:textId="5BA4F3E0" w:rsidR="00C8158C" w:rsidRDefault="00B47158" w:rsidP="00B47158">
      <w:pPr>
        <w:pStyle w:val="ListParagraph"/>
        <w:ind w:left="0"/>
      </w:pPr>
      <w:r>
        <w:rPr>
          <w:noProof/>
        </w:rPr>
        <w:drawing>
          <wp:inline distT="0" distB="0" distL="0" distR="0" wp14:anchorId="622CB6A2" wp14:editId="51B178DC">
            <wp:extent cx="5943600"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3695"/>
                    </a:xfrm>
                    <a:prstGeom prst="rect">
                      <a:avLst/>
                    </a:prstGeom>
                  </pic:spPr>
                </pic:pic>
              </a:graphicData>
            </a:graphic>
          </wp:inline>
        </w:drawing>
      </w:r>
    </w:p>
    <w:p w14:paraId="3B3CCD91" w14:textId="72DCA6B8" w:rsidR="00196469" w:rsidRDefault="006A0B8C" w:rsidP="00B11718">
      <w:r>
        <w:t>This search produced the following result</w:t>
      </w:r>
      <w:r w:rsidR="003040B5">
        <w:t>s.</w:t>
      </w:r>
    </w:p>
    <w:p w14:paraId="26DDB991" w14:textId="14CA982E" w:rsidR="00A137D9" w:rsidRDefault="006A0B8C" w:rsidP="00B11718">
      <w:r>
        <w:rPr>
          <w:noProof/>
        </w:rPr>
        <w:drawing>
          <wp:inline distT="0" distB="0" distL="0" distR="0" wp14:anchorId="583C81E2" wp14:editId="14AF9E23">
            <wp:extent cx="5943600" cy="564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64515"/>
                    </a:xfrm>
                    <a:prstGeom prst="rect">
                      <a:avLst/>
                    </a:prstGeom>
                  </pic:spPr>
                </pic:pic>
              </a:graphicData>
            </a:graphic>
          </wp:inline>
        </w:drawing>
      </w:r>
    </w:p>
    <w:p w14:paraId="513E201B" w14:textId="2076B240" w:rsidR="00EF55C3" w:rsidRPr="00B11718" w:rsidRDefault="00EF55C3" w:rsidP="00B11718">
      <w:r>
        <w:t xml:space="preserve">Select ‘Sub-Entity’ to land on the page where you can view company information, </w:t>
      </w:r>
      <w:r w:rsidR="004106BF">
        <w:t>twenty</w:t>
      </w:r>
      <w:r>
        <w:t xml:space="preserve"> most recent employer services, </w:t>
      </w:r>
      <w:r w:rsidR="004106BF">
        <w:t>ten</w:t>
      </w:r>
      <w:r>
        <w:t xml:space="preserve"> most recent job postings, enter or review</w:t>
      </w:r>
      <w:r w:rsidR="005120F9">
        <w:t xml:space="preserve"> case notes</w:t>
      </w:r>
      <w:r w:rsidR="000B084A">
        <w:t xml:space="preserve">. </w:t>
      </w:r>
      <w:r w:rsidR="00802B58">
        <w:t>C</w:t>
      </w:r>
      <w:r>
        <w:t xml:space="preserve">lick the </w:t>
      </w:r>
      <w:r w:rsidR="004A5A35">
        <w:t>‘Find Recruiter Match’</w:t>
      </w:r>
      <w:r w:rsidR="00411322">
        <w:t xml:space="preserve"> </w:t>
      </w:r>
      <w:r>
        <w:t xml:space="preserve">widget on the </w:t>
      </w:r>
      <w:r w:rsidR="00712C1F">
        <w:t xml:space="preserve">sub-entity </w:t>
      </w:r>
      <w:r>
        <w:t>dashboard</w:t>
      </w:r>
      <w:r w:rsidR="00802B58">
        <w:t xml:space="preserve"> to run a report to </w:t>
      </w:r>
      <w:r w:rsidR="00290858">
        <w:t>present all recruiters associated with the company</w:t>
      </w:r>
      <w:r>
        <w:t>.</w:t>
      </w:r>
    </w:p>
    <w:p w14:paraId="18FC573D" w14:textId="4AB3ABC5" w:rsidR="007D23AE" w:rsidRPr="007D23AE" w:rsidRDefault="00DE6873" w:rsidP="007D23AE">
      <w:pPr>
        <w:rPr>
          <w:b/>
          <w:bCs/>
          <w:sz w:val="28"/>
          <w:szCs w:val="28"/>
        </w:rPr>
      </w:pPr>
      <w:r>
        <w:rPr>
          <w:b/>
          <w:bCs/>
          <w:sz w:val="28"/>
          <w:szCs w:val="28"/>
        </w:rPr>
        <w:t xml:space="preserve">Employer Services and </w:t>
      </w:r>
      <w:r w:rsidR="007D23AE" w:rsidRPr="007D23AE">
        <w:rPr>
          <w:b/>
          <w:bCs/>
          <w:sz w:val="28"/>
          <w:szCs w:val="28"/>
        </w:rPr>
        <w:t>Case Notes</w:t>
      </w:r>
    </w:p>
    <w:p w14:paraId="61E1625E" w14:textId="70B26E30" w:rsidR="00C449AC" w:rsidRDefault="00021AAD" w:rsidP="005C35EA">
      <w:pPr>
        <w:spacing w:after="0"/>
      </w:pPr>
      <w:r>
        <w:t>Employer s</w:t>
      </w:r>
      <w:r w:rsidRPr="00021AAD">
        <w:t>ervice</w:t>
      </w:r>
      <w:r>
        <w:t xml:space="preserve"> activity</w:t>
      </w:r>
      <w:r w:rsidRPr="00021AAD">
        <w:t xml:space="preserve"> can be documented under the sub-entity or recruiter record.</w:t>
      </w:r>
      <w:r>
        <w:t xml:space="preserve"> However, w</w:t>
      </w:r>
      <w:r w:rsidR="00DE6873" w:rsidRPr="005503F6">
        <w:t xml:space="preserve">hen several </w:t>
      </w:r>
      <w:r w:rsidR="0025197B">
        <w:t>b</w:t>
      </w:r>
      <w:r w:rsidR="00DE6873" w:rsidRPr="005503F6">
        <w:t xml:space="preserve">usiness </w:t>
      </w:r>
      <w:r w:rsidR="0025197B">
        <w:t>s</w:t>
      </w:r>
      <w:r w:rsidR="00DE6873" w:rsidRPr="005503F6">
        <w:t xml:space="preserve">ervices staff work with </w:t>
      </w:r>
      <w:r w:rsidR="00DE6873">
        <w:t>the same employer</w:t>
      </w:r>
      <w:r w:rsidR="0025197B">
        <w:t xml:space="preserve"> or </w:t>
      </w:r>
      <w:r w:rsidR="0025197B" w:rsidRPr="005503F6">
        <w:t>multiple recruiters</w:t>
      </w:r>
      <w:r w:rsidR="0025197B">
        <w:t xml:space="preserve"> for </w:t>
      </w:r>
      <w:r w:rsidR="00A24488">
        <w:t>a</w:t>
      </w:r>
      <w:r w:rsidR="0025197B">
        <w:t xml:space="preserve"> company,</w:t>
      </w:r>
      <w:r w:rsidR="00C449AC">
        <w:t xml:space="preserve"> it is a best practice to document </w:t>
      </w:r>
      <w:r w:rsidR="007013B9">
        <w:t xml:space="preserve">all activity into the sub-entity record and not in the ‘Company Entity’ or recruiter record. </w:t>
      </w:r>
      <w:r w:rsidR="00C449AC">
        <w:t>The benefits of this are</w:t>
      </w:r>
      <w:r w:rsidR="005C35EA">
        <w:t xml:space="preserve"> s</w:t>
      </w:r>
      <w:r w:rsidR="00C449AC">
        <w:t>ervices are under a common record.</w:t>
      </w:r>
    </w:p>
    <w:p w14:paraId="604E4E20" w14:textId="77777777" w:rsidR="005C35EA" w:rsidRDefault="005C35EA" w:rsidP="005C35EA">
      <w:pPr>
        <w:spacing w:after="0"/>
      </w:pPr>
    </w:p>
    <w:p w14:paraId="4F04F481" w14:textId="77777777" w:rsidR="00C85CF1" w:rsidRDefault="00C85CF1" w:rsidP="0090760A">
      <w:pPr>
        <w:rPr>
          <w:b/>
          <w:bCs/>
          <w:sz w:val="28"/>
          <w:szCs w:val="28"/>
        </w:rPr>
      </w:pPr>
      <w:r w:rsidRPr="0090760A">
        <w:rPr>
          <w:b/>
          <w:bCs/>
          <w:sz w:val="28"/>
          <w:szCs w:val="28"/>
        </w:rPr>
        <w:t>Impersonation</w:t>
      </w:r>
    </w:p>
    <w:p w14:paraId="666144A3" w14:textId="1EC98F0A" w:rsidR="00165F37" w:rsidRDefault="003E0051" w:rsidP="0090760A">
      <w:r>
        <w:t>Impersonation</w:t>
      </w:r>
      <w:r w:rsidR="00165F37">
        <w:t xml:space="preserve"> is a feature in ETO where staff ask </w:t>
      </w:r>
      <w:r w:rsidR="000F662F">
        <w:t>the recruiter</w:t>
      </w:r>
      <w:r w:rsidR="00287B7C">
        <w:t xml:space="preserve"> </w:t>
      </w:r>
      <w:r w:rsidR="00165F37">
        <w:t>for permission to</w:t>
      </w:r>
      <w:r w:rsidR="007B15BE">
        <w:t xml:space="preserve"> </w:t>
      </w:r>
      <w:r w:rsidR="009E3326">
        <w:t>access the</w:t>
      </w:r>
      <w:r>
        <w:t xml:space="preserve">ir WSWA account. </w:t>
      </w:r>
      <w:r w:rsidR="00A35045">
        <w:t xml:space="preserve">Impersonation can only be done from a recruiter account. </w:t>
      </w:r>
      <w:r w:rsidR="00973B2D">
        <w:t xml:space="preserve">To </w:t>
      </w:r>
      <w:r w:rsidR="00773C8D">
        <w:t xml:space="preserve">‘Impersonate’ an employer </w:t>
      </w:r>
      <w:r w:rsidR="002A6BE0">
        <w:t xml:space="preserve">click the ‘Access Recruiter Account’ widget from the </w:t>
      </w:r>
      <w:r w:rsidR="30AE2FD3">
        <w:t>recruiter's</w:t>
      </w:r>
      <w:r w:rsidR="002A6BE0">
        <w:t xml:space="preserve"> dashboard.</w:t>
      </w:r>
    </w:p>
    <w:p w14:paraId="2393F7C5" w14:textId="676469D3" w:rsidR="00AD681D" w:rsidRDefault="002178D7" w:rsidP="0090760A">
      <w:r>
        <w:t>Note:</w:t>
      </w:r>
      <w:r w:rsidR="004F2FB0">
        <w:t xml:space="preserve"> If you don’t know who the company recruiter</w:t>
      </w:r>
      <w:r w:rsidR="00EC27CF">
        <w:t xml:space="preserve">(s) is, </w:t>
      </w:r>
      <w:r w:rsidR="00146872">
        <w:t xml:space="preserve">run the ‘Find Recruiter Match’ from the </w:t>
      </w:r>
      <w:r w:rsidR="00966AC4">
        <w:t>company sub-entity account.</w:t>
      </w:r>
    </w:p>
    <w:p w14:paraId="34FE09F7" w14:textId="7D662BC5" w:rsidR="002A6BE0" w:rsidRDefault="002A6BE0" w:rsidP="0090760A">
      <w:r>
        <w:t xml:space="preserve">When finished impersonating and employer be sure to click </w:t>
      </w:r>
      <w:r w:rsidR="002C3062">
        <w:t>‘End Session’ from the recruiters WSWA account</w:t>
      </w:r>
      <w:r w:rsidR="00CE2866">
        <w:t>. Not ending the session can cause issues with your ETO experience.</w:t>
      </w:r>
    </w:p>
    <w:p w14:paraId="6B186196" w14:textId="0BD76620" w:rsidR="003A4B93" w:rsidRPr="00165F37" w:rsidRDefault="003A4B93" w:rsidP="007D3526">
      <w:pPr>
        <w:ind w:left="720"/>
      </w:pPr>
      <w:r>
        <w:rPr>
          <w:noProof/>
        </w:rPr>
        <w:drawing>
          <wp:inline distT="0" distB="0" distL="0" distR="0" wp14:anchorId="61758E5F" wp14:editId="05F23A90">
            <wp:extent cx="4694400" cy="5594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7139" cy="576426"/>
                    </a:xfrm>
                    <a:prstGeom prst="rect">
                      <a:avLst/>
                    </a:prstGeom>
                  </pic:spPr>
                </pic:pic>
              </a:graphicData>
            </a:graphic>
          </wp:inline>
        </w:drawing>
      </w:r>
    </w:p>
    <w:p w14:paraId="4F04F482" w14:textId="5DB10F3E" w:rsidR="00C85CF1" w:rsidRDefault="000715AE" w:rsidP="0090760A">
      <w:pPr>
        <w:rPr>
          <w:b/>
          <w:bCs/>
          <w:sz w:val="28"/>
          <w:szCs w:val="28"/>
        </w:rPr>
      </w:pPr>
      <w:r>
        <w:rPr>
          <w:b/>
          <w:bCs/>
          <w:sz w:val="28"/>
          <w:szCs w:val="28"/>
        </w:rPr>
        <w:t xml:space="preserve">WSWA </w:t>
      </w:r>
      <w:r w:rsidR="00EF5C42">
        <w:rPr>
          <w:b/>
          <w:bCs/>
          <w:sz w:val="28"/>
          <w:szCs w:val="28"/>
        </w:rPr>
        <w:t>Recruiter</w:t>
      </w:r>
      <w:r w:rsidR="00C85CF1" w:rsidRPr="0090760A">
        <w:rPr>
          <w:b/>
          <w:bCs/>
          <w:sz w:val="28"/>
          <w:szCs w:val="28"/>
        </w:rPr>
        <w:t xml:space="preserve"> </w:t>
      </w:r>
      <w:r>
        <w:rPr>
          <w:b/>
          <w:bCs/>
          <w:sz w:val="28"/>
          <w:szCs w:val="28"/>
        </w:rPr>
        <w:t>Dashboard</w:t>
      </w:r>
    </w:p>
    <w:p w14:paraId="3CDEFD72" w14:textId="77777777" w:rsidR="00175842" w:rsidRDefault="00641BB4" w:rsidP="0090760A">
      <w:r>
        <w:t>Recruiters</w:t>
      </w:r>
      <w:r w:rsidR="00D4317B">
        <w:t>,</w:t>
      </w:r>
      <w:r>
        <w:t xml:space="preserve"> or staff who are impersonating a recruiter</w:t>
      </w:r>
      <w:r w:rsidR="00D4317B">
        <w:t>,</w:t>
      </w:r>
      <w:r>
        <w:t xml:space="preserve"> will </w:t>
      </w:r>
      <w:r w:rsidR="00D74160">
        <w:t xml:space="preserve">be able to post jobs, </w:t>
      </w:r>
      <w:r w:rsidR="00DC5CC3">
        <w:t xml:space="preserve">search for </w:t>
      </w:r>
      <w:r w:rsidR="008F1EA6">
        <w:t>potential candidates using the resume search feature and review</w:t>
      </w:r>
      <w:r w:rsidR="00CE5BD5">
        <w:t xml:space="preserve"> applications from</w:t>
      </w:r>
      <w:r w:rsidR="008F1EA6">
        <w:t xml:space="preserve"> job seekers.</w:t>
      </w:r>
      <w:r w:rsidR="00CE5BD5">
        <w:t xml:space="preserve"> Recruiters who are account Administrators can add or remove recruiters.</w:t>
      </w:r>
    </w:p>
    <w:p w14:paraId="0DD6088B" w14:textId="7A66FAA4" w:rsidR="001355FD" w:rsidRPr="001355FD" w:rsidRDefault="00175842" w:rsidP="0090760A">
      <w:r>
        <w:t xml:space="preserve">There is </w:t>
      </w:r>
      <w:r w:rsidR="004B2765">
        <w:t xml:space="preserve">a help feature and links to </w:t>
      </w:r>
      <w:r w:rsidR="00DD030C">
        <w:t xml:space="preserve">system tutorials as well as </w:t>
      </w:r>
      <w:r w:rsidR="00384F39">
        <w:t xml:space="preserve">help starting a </w:t>
      </w:r>
      <w:r w:rsidR="00914445">
        <w:t>business</w:t>
      </w:r>
      <w:r w:rsidR="00D51FE9">
        <w:t xml:space="preserve"> in Washington and links to </w:t>
      </w:r>
      <w:r w:rsidR="009A75A2">
        <w:t>Employment Security</w:t>
      </w:r>
      <w:r w:rsidR="007F3AE6">
        <w:t xml:space="preserve"> </w:t>
      </w:r>
      <w:r w:rsidR="0043618F">
        <w:t xml:space="preserve">and WorkSource office </w:t>
      </w:r>
      <w:r w:rsidR="00BC6212">
        <w:t>resources</w:t>
      </w:r>
      <w:r w:rsidR="0043618F">
        <w:t>.</w:t>
      </w:r>
    </w:p>
    <w:p w14:paraId="28584461" w14:textId="76CB5690" w:rsidR="002A1569" w:rsidRPr="0090760A" w:rsidRDefault="001355FD" w:rsidP="0090760A">
      <w:pPr>
        <w:rPr>
          <w:b/>
          <w:bCs/>
          <w:sz w:val="28"/>
          <w:szCs w:val="28"/>
        </w:rPr>
      </w:pPr>
      <w:r w:rsidRPr="001355FD">
        <w:rPr>
          <w:noProof/>
        </w:rPr>
        <w:drawing>
          <wp:inline distT="0" distB="0" distL="0" distR="0" wp14:anchorId="71C4D5CF" wp14:editId="2545412A">
            <wp:extent cx="3783943" cy="3312000"/>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22585" cy="3345823"/>
                    </a:xfrm>
                    <a:prstGeom prst="rect">
                      <a:avLst/>
                    </a:prstGeom>
                  </pic:spPr>
                </pic:pic>
              </a:graphicData>
            </a:graphic>
          </wp:inline>
        </w:drawing>
      </w:r>
    </w:p>
    <w:p w14:paraId="4F04F483" w14:textId="7D003E3D" w:rsidR="001662D9" w:rsidRDefault="002A1DF4" w:rsidP="0090760A">
      <w:pPr>
        <w:rPr>
          <w:b/>
          <w:bCs/>
          <w:sz w:val="28"/>
          <w:szCs w:val="28"/>
        </w:rPr>
      </w:pPr>
      <w:r>
        <w:rPr>
          <w:b/>
          <w:bCs/>
          <w:sz w:val="28"/>
          <w:szCs w:val="28"/>
        </w:rPr>
        <w:t xml:space="preserve">WorkSourceWA </w:t>
      </w:r>
      <w:r w:rsidR="0043793F">
        <w:rPr>
          <w:b/>
          <w:bCs/>
          <w:sz w:val="28"/>
          <w:szCs w:val="28"/>
        </w:rPr>
        <w:t xml:space="preserve">Job Match </w:t>
      </w:r>
      <w:r w:rsidR="001F0640">
        <w:rPr>
          <w:b/>
          <w:bCs/>
          <w:sz w:val="28"/>
          <w:szCs w:val="28"/>
        </w:rPr>
        <w:t>Training Resources</w:t>
      </w:r>
    </w:p>
    <w:p w14:paraId="3DDC422A" w14:textId="3A744F85" w:rsidR="001F0640" w:rsidRDefault="00DA189C" w:rsidP="00515C15">
      <w:pPr>
        <w:spacing w:after="0"/>
      </w:pPr>
      <w:r>
        <w:t>These a</w:t>
      </w:r>
      <w:r w:rsidR="00515C15">
        <w:t>dditional</w:t>
      </w:r>
      <w:r w:rsidR="00EC1364">
        <w:t xml:space="preserve"> WSWA</w:t>
      </w:r>
      <w:r>
        <w:t xml:space="preserve"> training resources</w:t>
      </w:r>
      <w:r w:rsidR="00EC1364">
        <w:t xml:space="preserve"> will assist staff when working with employers</w:t>
      </w:r>
      <w:r w:rsidR="00515C15">
        <w:t xml:space="preserve"> </w:t>
      </w:r>
      <w:r w:rsidR="00405E77">
        <w:t xml:space="preserve">are found on the </w:t>
      </w:r>
      <w:hyperlink r:id="rId14" w:history="1">
        <w:r w:rsidR="00405E77" w:rsidRPr="005016A7">
          <w:rPr>
            <w:rStyle w:val="Hyperlink"/>
          </w:rPr>
          <w:t xml:space="preserve">Workforce </w:t>
        </w:r>
        <w:r w:rsidR="003905DB" w:rsidRPr="005016A7">
          <w:rPr>
            <w:rStyle w:val="Hyperlink"/>
          </w:rPr>
          <w:t>Professional</w:t>
        </w:r>
        <w:r w:rsidR="00405E77" w:rsidRPr="005016A7">
          <w:rPr>
            <w:rStyle w:val="Hyperlink"/>
          </w:rPr>
          <w:t xml:space="preserve"> Center</w:t>
        </w:r>
      </w:hyperlink>
      <w:r w:rsidR="003905DB">
        <w:t xml:space="preserve"> </w:t>
      </w:r>
    </w:p>
    <w:p w14:paraId="0E56E04C" w14:textId="77777777" w:rsidR="00074BA9" w:rsidRDefault="00074BA9" w:rsidP="00515C15">
      <w:pPr>
        <w:spacing w:after="0"/>
      </w:pPr>
    </w:p>
    <w:p w14:paraId="09CEFFF7" w14:textId="62454C60" w:rsidR="001F0640" w:rsidRDefault="00722691" w:rsidP="00722691">
      <w:pPr>
        <w:ind w:left="720"/>
        <w:rPr>
          <w:b/>
          <w:bCs/>
          <w:sz w:val="28"/>
          <w:szCs w:val="28"/>
        </w:rPr>
      </w:pPr>
      <w:r>
        <w:rPr>
          <w:noProof/>
        </w:rPr>
        <w:drawing>
          <wp:inline distT="0" distB="0" distL="0" distR="0" wp14:anchorId="178FDE7C" wp14:editId="5998491A">
            <wp:extent cx="3136852" cy="1313234"/>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8315" cy="1318033"/>
                    </a:xfrm>
                    <a:prstGeom prst="rect">
                      <a:avLst/>
                    </a:prstGeom>
                  </pic:spPr>
                </pic:pic>
              </a:graphicData>
            </a:graphic>
          </wp:inline>
        </w:drawing>
      </w:r>
    </w:p>
    <w:p w14:paraId="6CCE084A" w14:textId="302E7216" w:rsidR="00C731FB" w:rsidRDefault="00E90EA9" w:rsidP="0090760A">
      <w:pPr>
        <w:rPr>
          <w:b/>
          <w:bCs/>
          <w:sz w:val="28"/>
          <w:szCs w:val="28"/>
        </w:rPr>
      </w:pPr>
      <w:r>
        <w:rPr>
          <w:b/>
          <w:bCs/>
          <w:sz w:val="28"/>
          <w:szCs w:val="28"/>
        </w:rPr>
        <w:t>Recording Employer Events and Report</w:t>
      </w:r>
    </w:p>
    <w:p w14:paraId="4177DFFF" w14:textId="7C6323B3" w:rsidR="00AE6E61" w:rsidRDefault="00AE6E61" w:rsidP="0090760A">
      <w:r>
        <w:t>At the request of Business Services, Rapid Response and TAA staff, the Employer Events TouchPoint (TP) was created to gather raw data for employer hiring events, job fairs, Rapid Response events, TAA Orientations and other events. The TouchPoint includes an Identifier field to call out the event, a dropdown to select the type of event and free form text boxes to record type of employer event, industry/sector, number of employers in attendance, number of seekers in attendance, number of seekers hired and notes.</w:t>
      </w:r>
    </w:p>
    <w:p w14:paraId="56793F02" w14:textId="7DA854C5" w:rsidR="007861AC" w:rsidRDefault="007861AC" w:rsidP="0090760A">
      <w:pPr>
        <w:rPr>
          <w:b/>
          <w:bCs/>
          <w:sz w:val="28"/>
          <w:szCs w:val="28"/>
        </w:rPr>
      </w:pPr>
      <w:r>
        <w:t>Follow the link to the desk</w:t>
      </w:r>
      <w:r w:rsidR="00E24FC4">
        <w:t xml:space="preserve"> </w:t>
      </w:r>
      <w:r>
        <w:t>aid</w:t>
      </w:r>
      <w:r w:rsidR="00E24FC4">
        <w:t xml:space="preserve"> for </w:t>
      </w:r>
      <w:hyperlink r:id="rId16" w:history="1">
        <w:hyperlink r:id="rId17">
          <w:r w:rsidR="00472D73" w:rsidRPr="005B4D8A">
            <w:rPr>
              <w:rStyle w:val="Hyperlink"/>
            </w:rPr>
            <w:t xml:space="preserve">Employer Events TouchPoint and </w:t>
          </w:r>
          <w:r w:rsidR="00472D73" w:rsidRPr="005B4D8A">
            <w:rPr>
              <w:rStyle w:val="Hyperlink"/>
            </w:rPr>
            <w:t>Running the Report</w:t>
          </w:r>
        </w:hyperlink>
      </w:hyperlink>
    </w:p>
    <w:p w14:paraId="4F04F484" w14:textId="77777777" w:rsidR="00C85CF1" w:rsidRPr="0090760A" w:rsidRDefault="00C85CF1" w:rsidP="00C85CF1">
      <w:pPr>
        <w:spacing w:after="0"/>
        <w:rPr>
          <w:b/>
          <w:sz w:val="28"/>
          <w:szCs w:val="28"/>
        </w:rPr>
      </w:pPr>
      <w:r w:rsidRPr="0090760A">
        <w:rPr>
          <w:b/>
          <w:sz w:val="28"/>
          <w:szCs w:val="28"/>
        </w:rPr>
        <w:t>Resources</w:t>
      </w:r>
    </w:p>
    <w:p w14:paraId="4F04F485" w14:textId="064EC73B" w:rsidR="00C85CF1" w:rsidRDefault="00C85CF1" w:rsidP="00C85CF1">
      <w:pPr>
        <w:pStyle w:val="ListParagraph"/>
        <w:numPr>
          <w:ilvl w:val="0"/>
          <w:numId w:val="3"/>
        </w:numPr>
        <w:spacing w:after="0"/>
      </w:pPr>
      <w:r>
        <w:t>W</w:t>
      </w:r>
      <w:r w:rsidR="0056154D">
        <w:t xml:space="preserve">orkforce Professional </w:t>
      </w:r>
      <w:r>
        <w:t>C</w:t>
      </w:r>
      <w:r w:rsidR="0056154D">
        <w:t xml:space="preserve">enter for </w:t>
      </w:r>
      <w:hyperlink r:id="rId18">
        <w:r w:rsidR="00BE5A40" w:rsidRPr="76C7A2C4">
          <w:rPr>
            <w:rStyle w:val="Hyperlink"/>
          </w:rPr>
          <w:t>WorkSource T</w:t>
        </w:r>
        <w:r w:rsidR="0056154D" w:rsidRPr="76C7A2C4">
          <w:rPr>
            <w:rStyle w:val="Hyperlink"/>
          </w:rPr>
          <w:t>echnolog</w:t>
        </w:r>
        <w:r w:rsidR="001678F3" w:rsidRPr="76C7A2C4">
          <w:rPr>
            <w:rStyle w:val="Hyperlink"/>
          </w:rPr>
          <w:t>y</w:t>
        </w:r>
      </w:hyperlink>
      <w:r>
        <w:t xml:space="preserve"> </w:t>
      </w:r>
    </w:p>
    <w:p w14:paraId="28E367F3" w14:textId="5AC2538B" w:rsidR="63DD7C44" w:rsidRDefault="005B4D8A" w:rsidP="76C7A2C4">
      <w:pPr>
        <w:pStyle w:val="ListParagraph"/>
        <w:numPr>
          <w:ilvl w:val="0"/>
          <w:numId w:val="3"/>
        </w:numPr>
        <w:spacing w:after="0"/>
        <w:rPr>
          <w:rFonts w:eastAsiaTheme="minorEastAsia"/>
        </w:rPr>
      </w:pPr>
      <w:hyperlink r:id="rId19">
        <w:r w:rsidR="63DD7C44" w:rsidRPr="76C7A2C4">
          <w:rPr>
            <w:rStyle w:val="Hyperlink"/>
          </w:rPr>
          <w:t>Services Catalog</w:t>
        </w:r>
      </w:hyperlink>
      <w:r w:rsidR="63DD7C44" w:rsidRPr="76C7A2C4">
        <w:t xml:space="preserve"> of ETO business services </w:t>
      </w:r>
      <w:r w:rsidR="00ED3D6F">
        <w:t xml:space="preserve">TouchPoints </w:t>
      </w:r>
      <w:r w:rsidR="63DD7C44" w:rsidRPr="76C7A2C4">
        <w:t>and their descriptions</w:t>
      </w:r>
    </w:p>
    <w:p w14:paraId="4F04F487" w14:textId="17B44746" w:rsidR="00C85CF1" w:rsidRDefault="00C85CF1" w:rsidP="00C85CF1">
      <w:pPr>
        <w:pStyle w:val="ListParagraph"/>
        <w:numPr>
          <w:ilvl w:val="0"/>
          <w:numId w:val="3"/>
        </w:numPr>
        <w:spacing w:after="0"/>
      </w:pPr>
      <w:r>
        <w:t>WorkSource Systems Support Team (WSS)</w:t>
      </w:r>
      <w:r w:rsidR="003B4A30">
        <w:t xml:space="preserve"> group email</w:t>
      </w:r>
      <w:r>
        <w:t xml:space="preserve"> </w:t>
      </w:r>
      <w:hyperlink r:id="rId20">
        <w:r w:rsidRPr="76C7A2C4">
          <w:rPr>
            <w:rStyle w:val="Hyperlink"/>
          </w:rPr>
          <w:t>esdgpwssteam@esd.wa.gov</w:t>
        </w:r>
      </w:hyperlink>
    </w:p>
    <w:p w14:paraId="4F04F48A" w14:textId="615EAF7B" w:rsidR="00444F82" w:rsidRDefault="00444F82" w:rsidP="6F4F6958">
      <w:pPr>
        <w:spacing w:after="0"/>
        <w:ind w:left="360"/>
      </w:pPr>
    </w:p>
    <w:sectPr w:rsidR="00444F82" w:rsidSect="00EF1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2F2"/>
    <w:multiLevelType w:val="hybridMultilevel"/>
    <w:tmpl w:val="4B3C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8A1"/>
    <w:multiLevelType w:val="hybridMultilevel"/>
    <w:tmpl w:val="7D441F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9D44CB"/>
    <w:multiLevelType w:val="hybridMultilevel"/>
    <w:tmpl w:val="F0AE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A2E18"/>
    <w:multiLevelType w:val="hybridMultilevel"/>
    <w:tmpl w:val="23A27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E1043"/>
    <w:multiLevelType w:val="hybridMultilevel"/>
    <w:tmpl w:val="35F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2186B"/>
    <w:multiLevelType w:val="hybridMultilevel"/>
    <w:tmpl w:val="1B8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18B00"/>
    <w:multiLevelType w:val="hybridMultilevel"/>
    <w:tmpl w:val="EB9AF1A2"/>
    <w:lvl w:ilvl="0" w:tplc="70529684">
      <w:start w:val="1"/>
      <w:numFmt w:val="bullet"/>
      <w:lvlText w:val="·"/>
      <w:lvlJc w:val="left"/>
      <w:pPr>
        <w:ind w:left="720" w:hanging="360"/>
      </w:pPr>
      <w:rPr>
        <w:rFonts w:ascii="Symbol" w:hAnsi="Symbol" w:hint="default"/>
      </w:rPr>
    </w:lvl>
    <w:lvl w:ilvl="1" w:tplc="E2AEF382">
      <w:start w:val="1"/>
      <w:numFmt w:val="bullet"/>
      <w:lvlText w:val="o"/>
      <w:lvlJc w:val="left"/>
      <w:pPr>
        <w:ind w:left="1440" w:hanging="360"/>
      </w:pPr>
      <w:rPr>
        <w:rFonts w:ascii="Courier New" w:hAnsi="Courier New" w:hint="default"/>
      </w:rPr>
    </w:lvl>
    <w:lvl w:ilvl="2" w:tplc="70BC6F24">
      <w:start w:val="1"/>
      <w:numFmt w:val="bullet"/>
      <w:lvlText w:val=""/>
      <w:lvlJc w:val="left"/>
      <w:pPr>
        <w:ind w:left="2160" w:hanging="360"/>
      </w:pPr>
      <w:rPr>
        <w:rFonts w:ascii="Wingdings" w:hAnsi="Wingdings" w:hint="default"/>
      </w:rPr>
    </w:lvl>
    <w:lvl w:ilvl="3" w:tplc="39E69226">
      <w:start w:val="1"/>
      <w:numFmt w:val="bullet"/>
      <w:lvlText w:val=""/>
      <w:lvlJc w:val="left"/>
      <w:pPr>
        <w:ind w:left="2880" w:hanging="360"/>
      </w:pPr>
      <w:rPr>
        <w:rFonts w:ascii="Symbol" w:hAnsi="Symbol" w:hint="default"/>
      </w:rPr>
    </w:lvl>
    <w:lvl w:ilvl="4" w:tplc="3108655C">
      <w:start w:val="1"/>
      <w:numFmt w:val="bullet"/>
      <w:lvlText w:val="o"/>
      <w:lvlJc w:val="left"/>
      <w:pPr>
        <w:ind w:left="3600" w:hanging="360"/>
      </w:pPr>
      <w:rPr>
        <w:rFonts w:ascii="Courier New" w:hAnsi="Courier New" w:hint="default"/>
      </w:rPr>
    </w:lvl>
    <w:lvl w:ilvl="5" w:tplc="F410A664">
      <w:start w:val="1"/>
      <w:numFmt w:val="bullet"/>
      <w:lvlText w:val=""/>
      <w:lvlJc w:val="left"/>
      <w:pPr>
        <w:ind w:left="4320" w:hanging="360"/>
      </w:pPr>
      <w:rPr>
        <w:rFonts w:ascii="Wingdings" w:hAnsi="Wingdings" w:hint="default"/>
      </w:rPr>
    </w:lvl>
    <w:lvl w:ilvl="6" w:tplc="DCB8FA7A">
      <w:start w:val="1"/>
      <w:numFmt w:val="bullet"/>
      <w:lvlText w:val=""/>
      <w:lvlJc w:val="left"/>
      <w:pPr>
        <w:ind w:left="5040" w:hanging="360"/>
      </w:pPr>
      <w:rPr>
        <w:rFonts w:ascii="Symbol" w:hAnsi="Symbol" w:hint="default"/>
      </w:rPr>
    </w:lvl>
    <w:lvl w:ilvl="7" w:tplc="CC648EEE">
      <w:start w:val="1"/>
      <w:numFmt w:val="bullet"/>
      <w:lvlText w:val="o"/>
      <w:lvlJc w:val="left"/>
      <w:pPr>
        <w:ind w:left="5760" w:hanging="360"/>
      </w:pPr>
      <w:rPr>
        <w:rFonts w:ascii="Courier New" w:hAnsi="Courier New" w:hint="default"/>
      </w:rPr>
    </w:lvl>
    <w:lvl w:ilvl="8" w:tplc="A22CE690">
      <w:start w:val="1"/>
      <w:numFmt w:val="bullet"/>
      <w:lvlText w:val=""/>
      <w:lvlJc w:val="left"/>
      <w:pPr>
        <w:ind w:left="6480" w:hanging="360"/>
      </w:pPr>
      <w:rPr>
        <w:rFonts w:ascii="Wingdings" w:hAnsi="Wingdings" w:hint="default"/>
      </w:rPr>
    </w:lvl>
  </w:abstractNum>
  <w:abstractNum w:abstractNumId="7" w15:restartNumberingAfterBreak="0">
    <w:nsid w:val="72B13717"/>
    <w:multiLevelType w:val="hybridMultilevel"/>
    <w:tmpl w:val="47A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773963">
    <w:abstractNumId w:val="0"/>
  </w:num>
  <w:num w:numId="2" w16cid:durableId="471487826">
    <w:abstractNumId w:val="7"/>
  </w:num>
  <w:num w:numId="3" w16cid:durableId="1743258130">
    <w:abstractNumId w:val="2"/>
  </w:num>
  <w:num w:numId="4" w16cid:durableId="175583050">
    <w:abstractNumId w:val="1"/>
  </w:num>
  <w:num w:numId="5" w16cid:durableId="1864443285">
    <w:abstractNumId w:val="4"/>
  </w:num>
  <w:num w:numId="6" w16cid:durableId="1886016988">
    <w:abstractNumId w:val="3"/>
  </w:num>
  <w:num w:numId="7" w16cid:durableId="643238591">
    <w:abstractNumId w:val="5"/>
  </w:num>
  <w:num w:numId="8" w16cid:durableId="761002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D9"/>
    <w:rsid w:val="00000400"/>
    <w:rsid w:val="0000452A"/>
    <w:rsid w:val="00021AAD"/>
    <w:rsid w:val="00043DDF"/>
    <w:rsid w:val="000715AE"/>
    <w:rsid w:val="00074BA9"/>
    <w:rsid w:val="00094AE8"/>
    <w:rsid w:val="000B084A"/>
    <w:rsid w:val="000F662F"/>
    <w:rsid w:val="00104E3F"/>
    <w:rsid w:val="00126F0A"/>
    <w:rsid w:val="001355FD"/>
    <w:rsid w:val="00146872"/>
    <w:rsid w:val="00165F37"/>
    <w:rsid w:val="001662D9"/>
    <w:rsid w:val="001678F3"/>
    <w:rsid w:val="00175842"/>
    <w:rsid w:val="00175E2B"/>
    <w:rsid w:val="00190EA9"/>
    <w:rsid w:val="0019382A"/>
    <w:rsid w:val="00196469"/>
    <w:rsid w:val="001E7472"/>
    <w:rsid w:val="001F0640"/>
    <w:rsid w:val="00214ED0"/>
    <w:rsid w:val="002178D7"/>
    <w:rsid w:val="002463CA"/>
    <w:rsid w:val="0025197B"/>
    <w:rsid w:val="00254079"/>
    <w:rsid w:val="002559EC"/>
    <w:rsid w:val="00261500"/>
    <w:rsid w:val="0027061E"/>
    <w:rsid w:val="00287B7C"/>
    <w:rsid w:val="00290858"/>
    <w:rsid w:val="002A1569"/>
    <w:rsid w:val="002A1DF4"/>
    <w:rsid w:val="002A4FBB"/>
    <w:rsid w:val="002A6BE0"/>
    <w:rsid w:val="002B3F52"/>
    <w:rsid w:val="002C3062"/>
    <w:rsid w:val="002E0E05"/>
    <w:rsid w:val="003040B5"/>
    <w:rsid w:val="0030793D"/>
    <w:rsid w:val="00307E32"/>
    <w:rsid w:val="00312E6D"/>
    <w:rsid w:val="00336149"/>
    <w:rsid w:val="00373145"/>
    <w:rsid w:val="0037520D"/>
    <w:rsid w:val="00384F39"/>
    <w:rsid w:val="003905DB"/>
    <w:rsid w:val="003A4B93"/>
    <w:rsid w:val="003B4A30"/>
    <w:rsid w:val="003D0B67"/>
    <w:rsid w:val="003E0051"/>
    <w:rsid w:val="00405E77"/>
    <w:rsid w:val="004106BF"/>
    <w:rsid w:val="00411322"/>
    <w:rsid w:val="0043618F"/>
    <w:rsid w:val="0043793F"/>
    <w:rsid w:val="00444F82"/>
    <w:rsid w:val="00465FDD"/>
    <w:rsid w:val="00472D73"/>
    <w:rsid w:val="00492839"/>
    <w:rsid w:val="004A5A35"/>
    <w:rsid w:val="004B2765"/>
    <w:rsid w:val="004C2ECA"/>
    <w:rsid w:val="004D07D4"/>
    <w:rsid w:val="004F2034"/>
    <w:rsid w:val="004F2C60"/>
    <w:rsid w:val="004F2FB0"/>
    <w:rsid w:val="005016A7"/>
    <w:rsid w:val="00503788"/>
    <w:rsid w:val="0050730D"/>
    <w:rsid w:val="005120F9"/>
    <w:rsid w:val="00515C15"/>
    <w:rsid w:val="00522215"/>
    <w:rsid w:val="00534C93"/>
    <w:rsid w:val="0056154D"/>
    <w:rsid w:val="00575B38"/>
    <w:rsid w:val="005B4D8A"/>
    <w:rsid w:val="005B6EB6"/>
    <w:rsid w:val="005C0F63"/>
    <w:rsid w:val="005C2E5A"/>
    <w:rsid w:val="005C35EA"/>
    <w:rsid w:val="005F29D2"/>
    <w:rsid w:val="005F7DF4"/>
    <w:rsid w:val="006046E9"/>
    <w:rsid w:val="006213D3"/>
    <w:rsid w:val="006301A8"/>
    <w:rsid w:val="00641BB4"/>
    <w:rsid w:val="006705AA"/>
    <w:rsid w:val="0068548C"/>
    <w:rsid w:val="006A0B8C"/>
    <w:rsid w:val="006B5821"/>
    <w:rsid w:val="006C5DDC"/>
    <w:rsid w:val="007013B9"/>
    <w:rsid w:val="00712C1F"/>
    <w:rsid w:val="00722691"/>
    <w:rsid w:val="00740C6D"/>
    <w:rsid w:val="007556CA"/>
    <w:rsid w:val="00773C8D"/>
    <w:rsid w:val="007861AC"/>
    <w:rsid w:val="007972C1"/>
    <w:rsid w:val="007B15BE"/>
    <w:rsid w:val="007C1021"/>
    <w:rsid w:val="007D23AE"/>
    <w:rsid w:val="007D3526"/>
    <w:rsid w:val="007E52ED"/>
    <w:rsid w:val="007F2202"/>
    <w:rsid w:val="007F3AE6"/>
    <w:rsid w:val="00802B58"/>
    <w:rsid w:val="00812803"/>
    <w:rsid w:val="008A06DE"/>
    <w:rsid w:val="008A2259"/>
    <w:rsid w:val="008A5E68"/>
    <w:rsid w:val="008B5F50"/>
    <w:rsid w:val="008C2589"/>
    <w:rsid w:val="008D28AB"/>
    <w:rsid w:val="008E2719"/>
    <w:rsid w:val="008F1EA6"/>
    <w:rsid w:val="00900809"/>
    <w:rsid w:val="00906F60"/>
    <w:rsid w:val="0090760A"/>
    <w:rsid w:val="00914445"/>
    <w:rsid w:val="00916B94"/>
    <w:rsid w:val="00922D74"/>
    <w:rsid w:val="00931684"/>
    <w:rsid w:val="009660D8"/>
    <w:rsid w:val="00966AC4"/>
    <w:rsid w:val="00967C70"/>
    <w:rsid w:val="00970B95"/>
    <w:rsid w:val="00973B2D"/>
    <w:rsid w:val="009A75A2"/>
    <w:rsid w:val="009D7EBD"/>
    <w:rsid w:val="009E3326"/>
    <w:rsid w:val="00A137D9"/>
    <w:rsid w:val="00A22F7A"/>
    <w:rsid w:val="00A24488"/>
    <w:rsid w:val="00A26D1D"/>
    <w:rsid w:val="00A35045"/>
    <w:rsid w:val="00A6344C"/>
    <w:rsid w:val="00A96040"/>
    <w:rsid w:val="00AD681D"/>
    <w:rsid w:val="00AE6E61"/>
    <w:rsid w:val="00B11718"/>
    <w:rsid w:val="00B16B59"/>
    <w:rsid w:val="00B24931"/>
    <w:rsid w:val="00B47158"/>
    <w:rsid w:val="00B53175"/>
    <w:rsid w:val="00B60E9F"/>
    <w:rsid w:val="00B71488"/>
    <w:rsid w:val="00B8068D"/>
    <w:rsid w:val="00BC4FF1"/>
    <w:rsid w:val="00BC6212"/>
    <w:rsid w:val="00BD2A80"/>
    <w:rsid w:val="00BE5A40"/>
    <w:rsid w:val="00C01503"/>
    <w:rsid w:val="00C24226"/>
    <w:rsid w:val="00C449AC"/>
    <w:rsid w:val="00C731FB"/>
    <w:rsid w:val="00C74F29"/>
    <w:rsid w:val="00C8158C"/>
    <w:rsid w:val="00C819E2"/>
    <w:rsid w:val="00C82981"/>
    <w:rsid w:val="00C85CF1"/>
    <w:rsid w:val="00C9064A"/>
    <w:rsid w:val="00CB2A89"/>
    <w:rsid w:val="00CE19D0"/>
    <w:rsid w:val="00CE2866"/>
    <w:rsid w:val="00CE5BD5"/>
    <w:rsid w:val="00D26267"/>
    <w:rsid w:val="00D27F22"/>
    <w:rsid w:val="00D4317B"/>
    <w:rsid w:val="00D51FE9"/>
    <w:rsid w:val="00D56594"/>
    <w:rsid w:val="00D74160"/>
    <w:rsid w:val="00DA189C"/>
    <w:rsid w:val="00DC014D"/>
    <w:rsid w:val="00DC5CC3"/>
    <w:rsid w:val="00DD030C"/>
    <w:rsid w:val="00DE6873"/>
    <w:rsid w:val="00E06187"/>
    <w:rsid w:val="00E12BE6"/>
    <w:rsid w:val="00E17400"/>
    <w:rsid w:val="00E24FC4"/>
    <w:rsid w:val="00E36F78"/>
    <w:rsid w:val="00E444F1"/>
    <w:rsid w:val="00E64B3E"/>
    <w:rsid w:val="00E87E7D"/>
    <w:rsid w:val="00E90EA9"/>
    <w:rsid w:val="00EC1364"/>
    <w:rsid w:val="00EC27CF"/>
    <w:rsid w:val="00ED00E6"/>
    <w:rsid w:val="00ED3D6F"/>
    <w:rsid w:val="00EE3B0A"/>
    <w:rsid w:val="00EF168A"/>
    <w:rsid w:val="00EF55C3"/>
    <w:rsid w:val="00EF5C42"/>
    <w:rsid w:val="00F176BB"/>
    <w:rsid w:val="00F27D3E"/>
    <w:rsid w:val="00F37E70"/>
    <w:rsid w:val="00F60D9E"/>
    <w:rsid w:val="00F7509D"/>
    <w:rsid w:val="00FB790A"/>
    <w:rsid w:val="00FC039E"/>
    <w:rsid w:val="00FF167A"/>
    <w:rsid w:val="0604D169"/>
    <w:rsid w:val="30AE2FD3"/>
    <w:rsid w:val="4B45D079"/>
    <w:rsid w:val="63DD7C44"/>
    <w:rsid w:val="6F4F6958"/>
    <w:rsid w:val="76C7A2C4"/>
    <w:rsid w:val="7749C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F466"/>
  <w15:chartTrackingRefBased/>
  <w15:docId w15:val="{84ED92A2-9374-4339-9D6F-686E94DA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2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2D9"/>
    <w:pPr>
      <w:ind w:left="720"/>
      <w:contextualSpacing/>
    </w:pPr>
  </w:style>
  <w:style w:type="character" w:styleId="Hyperlink">
    <w:name w:val="Hyperlink"/>
    <w:basedOn w:val="DefaultParagraphFont"/>
    <w:uiPriority w:val="99"/>
    <w:unhideWhenUsed/>
    <w:rsid w:val="00C85CF1"/>
    <w:rPr>
      <w:color w:val="0563C1" w:themeColor="hyperlink"/>
      <w:u w:val="single"/>
    </w:rPr>
  </w:style>
  <w:style w:type="character" w:styleId="UnresolvedMention">
    <w:name w:val="Unresolved Mention"/>
    <w:basedOn w:val="DefaultParagraphFont"/>
    <w:uiPriority w:val="99"/>
    <w:semiHidden/>
    <w:unhideWhenUsed/>
    <w:rsid w:val="0056154D"/>
    <w:rPr>
      <w:color w:val="605E5C"/>
      <w:shd w:val="clear" w:color="auto" w:fill="E1DFDD"/>
    </w:rPr>
  </w:style>
  <w:style w:type="character" w:styleId="CommentReference">
    <w:name w:val="annotation reference"/>
    <w:basedOn w:val="DefaultParagraphFont"/>
    <w:uiPriority w:val="99"/>
    <w:semiHidden/>
    <w:unhideWhenUsed/>
    <w:rsid w:val="004D07D4"/>
    <w:rPr>
      <w:sz w:val="16"/>
      <w:szCs w:val="16"/>
    </w:rPr>
  </w:style>
  <w:style w:type="paragraph" w:styleId="CommentText">
    <w:name w:val="annotation text"/>
    <w:basedOn w:val="Normal"/>
    <w:link w:val="CommentTextChar"/>
    <w:uiPriority w:val="99"/>
    <w:semiHidden/>
    <w:unhideWhenUsed/>
    <w:rsid w:val="004D07D4"/>
    <w:pPr>
      <w:spacing w:line="240" w:lineRule="auto"/>
    </w:pPr>
    <w:rPr>
      <w:sz w:val="20"/>
      <w:szCs w:val="20"/>
    </w:rPr>
  </w:style>
  <w:style w:type="character" w:customStyle="1" w:styleId="CommentTextChar">
    <w:name w:val="Comment Text Char"/>
    <w:basedOn w:val="DefaultParagraphFont"/>
    <w:link w:val="CommentText"/>
    <w:uiPriority w:val="99"/>
    <w:semiHidden/>
    <w:rsid w:val="004D07D4"/>
    <w:rPr>
      <w:sz w:val="20"/>
      <w:szCs w:val="20"/>
    </w:rPr>
  </w:style>
  <w:style w:type="paragraph" w:styleId="CommentSubject">
    <w:name w:val="annotation subject"/>
    <w:basedOn w:val="CommentText"/>
    <w:next w:val="CommentText"/>
    <w:link w:val="CommentSubjectChar"/>
    <w:uiPriority w:val="99"/>
    <w:semiHidden/>
    <w:unhideWhenUsed/>
    <w:rsid w:val="004D07D4"/>
    <w:rPr>
      <w:b/>
      <w:bCs/>
    </w:rPr>
  </w:style>
  <w:style w:type="character" w:customStyle="1" w:styleId="CommentSubjectChar">
    <w:name w:val="Comment Subject Char"/>
    <w:basedOn w:val="CommentTextChar"/>
    <w:link w:val="CommentSubject"/>
    <w:uiPriority w:val="99"/>
    <w:semiHidden/>
    <w:rsid w:val="004D07D4"/>
    <w:rPr>
      <w:b/>
      <w:bCs/>
      <w:sz w:val="20"/>
      <w:szCs w:val="20"/>
    </w:rPr>
  </w:style>
  <w:style w:type="character" w:styleId="FollowedHyperlink">
    <w:name w:val="FollowedHyperlink"/>
    <w:basedOn w:val="DefaultParagraphFont"/>
    <w:uiPriority w:val="99"/>
    <w:semiHidden/>
    <w:unhideWhenUsed/>
    <w:rsid w:val="005B4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pc.wa.gov/t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storemultisites.blob.core.windows.net/media/WPC/tech/staff-resources/Employer_job%20fair_other_%20rapid_response_events_tp_report.pdf"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Employer_job%20fair_other_%20rapid_response_events_tp_report.pdf" TargetMode="External"/><Relationship Id="rId20" Type="http://schemas.openxmlformats.org/officeDocument/2006/relationships/hyperlink" Target="mailto:esdgpwssteam@esd.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pc.wa.gov/tech/services-catalo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WSWA-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17" ma:contentTypeDescription="Create a new document." ma:contentTypeScope="" ma:versionID="a37087136e2ce3b56c03d0f77d13fcbf">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8b020be20db54c0220dac698a92f9cca"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element ref="ns2:SOP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SOPUpdated" ma:index="24" nillable="true" ma:displayName="SOP Updated" ma:format="Dropdown" ma:internalName="SOPUpda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43d3e67e-3a96-4068-a2b1-0742032475b2" xsi:nil="true"/>
    <TaxCatchAll xmlns="1b7d01fa-feb7-45e5-b217-dd86d3c24382" xsi:nil="true"/>
    <lcf76f155ced4ddcb4097134ff3c332f xmlns="43d3e67e-3a96-4068-a2b1-0742032475b2">
      <Terms xmlns="http://schemas.microsoft.com/office/infopath/2007/PartnerControls"/>
    </lcf76f155ced4ddcb4097134ff3c332f>
    <SOPUpdated xmlns="43d3e67e-3a96-4068-a2b1-0742032475b2" xsi:nil="true"/>
  </documentManagement>
</p:properties>
</file>

<file path=customXml/itemProps1.xml><?xml version="1.0" encoding="utf-8"?>
<ds:datastoreItem xmlns:ds="http://schemas.openxmlformats.org/officeDocument/2006/customXml" ds:itemID="{D319CD1C-84FF-492D-B5BC-3C80BC7CE093}">
  <ds:schemaRefs>
    <ds:schemaRef ds:uri="http://schemas.microsoft.com/sharepoint/v3/contenttype/forms"/>
  </ds:schemaRefs>
</ds:datastoreItem>
</file>

<file path=customXml/itemProps2.xml><?xml version="1.0" encoding="utf-8"?>
<ds:datastoreItem xmlns:ds="http://schemas.openxmlformats.org/officeDocument/2006/customXml" ds:itemID="{9B4FC865-5E8F-49B5-B399-D2E2A41D6625}"/>
</file>

<file path=customXml/itemProps3.xml><?xml version="1.0" encoding="utf-8"?>
<ds:datastoreItem xmlns:ds="http://schemas.openxmlformats.org/officeDocument/2006/customXml" ds:itemID="{7949BB8A-7BF8-4FD5-9E6B-B21581FB771B}">
  <ds:schemaRefs>
    <ds:schemaRef ds:uri="http://schemas.openxmlformats.org/officeDocument/2006/bibliography"/>
  </ds:schemaRefs>
</ds:datastoreItem>
</file>

<file path=customXml/itemProps4.xml><?xml version="1.0" encoding="utf-8"?>
<ds:datastoreItem xmlns:ds="http://schemas.openxmlformats.org/officeDocument/2006/customXml" ds:itemID="{E36DDCA3-44E9-4080-AFED-F511E8010E7C}">
  <ds:schemaRefs>
    <ds:schemaRef ds:uri="http://schemas.microsoft.com/office/2006/metadata/properties"/>
    <ds:schemaRef ds:uri="http://schemas.microsoft.com/office/infopath/2007/PartnerControls"/>
    <ds:schemaRef ds:uri="http://schemas.microsoft.com/sharepoint/v3"/>
    <ds:schemaRef ds:uri="43d3e67e-3a96-4068-a2b1-0742032475b2"/>
    <ds:schemaRef ds:uri="1b7d01fa-feb7-45e5-b217-dd86d3c24382"/>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 Lynn (ESD)</dc:creator>
  <cp:keywords/>
  <dc:description/>
  <cp:lastModifiedBy>Aue, Lynn (ESD)</cp:lastModifiedBy>
  <cp:revision>194</cp:revision>
  <dcterms:created xsi:type="dcterms:W3CDTF">2019-09-26T20:11:00Z</dcterms:created>
  <dcterms:modified xsi:type="dcterms:W3CDTF">2022-12-21T22:16:00Z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y fmtid="{D5CDD505-2E9C-101B-9397-08002B2CF9AE}" pid="3" name="MediaServiceImageTags">
    <vt:lpwstr/>
  </property>
</Properties>
</file>