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D83D" w14:textId="77777777" w:rsidR="00383A0F" w:rsidRPr="00406CC2" w:rsidRDefault="00456EDA" w:rsidP="00406CC2">
      <w:pPr>
        <w:spacing w:after="0" w:line="240" w:lineRule="auto"/>
        <w:jc w:val="center"/>
        <w:rPr>
          <w:b/>
          <w:sz w:val="28"/>
          <w:u w:val="single"/>
        </w:rPr>
      </w:pPr>
      <w:r w:rsidRPr="00406CC2">
        <w:rPr>
          <w:b/>
          <w:sz w:val="28"/>
          <w:u w:val="single"/>
        </w:rPr>
        <w:t>LinkedIn Learning</w:t>
      </w:r>
      <w:r w:rsidR="004F1927">
        <w:rPr>
          <w:b/>
          <w:sz w:val="28"/>
          <w:u w:val="single"/>
        </w:rPr>
        <w:t xml:space="preserve"> (LiL)</w:t>
      </w:r>
      <w:r w:rsidRPr="00406CC2">
        <w:rPr>
          <w:b/>
          <w:sz w:val="28"/>
          <w:u w:val="single"/>
        </w:rPr>
        <w:t xml:space="preserve"> Q&amp;A </w:t>
      </w:r>
    </w:p>
    <w:p w14:paraId="6E0F7240" w14:textId="77777777" w:rsidR="00406CC2" w:rsidRPr="00406CC2" w:rsidRDefault="00406CC2" w:rsidP="00406CC2">
      <w:pPr>
        <w:spacing w:after="0" w:line="240" w:lineRule="auto"/>
        <w:jc w:val="center"/>
        <w:rPr>
          <w:b/>
          <w:u w:val="single"/>
        </w:rPr>
      </w:pPr>
    </w:p>
    <w:p w14:paraId="619EF623" w14:textId="77777777" w:rsidR="00D4126C" w:rsidRDefault="00D4126C" w:rsidP="00F0063A">
      <w:pPr>
        <w:spacing w:after="0" w:line="240" w:lineRule="auto"/>
        <w:ind w:left="360" w:hanging="360"/>
        <w:rPr>
          <w:sz w:val="24"/>
          <w:szCs w:val="24"/>
        </w:rPr>
      </w:pPr>
      <w:r>
        <w:rPr>
          <w:b/>
          <w:sz w:val="24"/>
          <w:szCs w:val="24"/>
        </w:rPr>
        <w:t xml:space="preserve">Q: </w:t>
      </w:r>
      <w:r w:rsidR="003E3B08">
        <w:rPr>
          <w:sz w:val="24"/>
          <w:szCs w:val="24"/>
        </w:rPr>
        <w:t>Who can use LinkedIn Learning (LiL)? Does a</w:t>
      </w:r>
      <w:r w:rsidR="00FE180B">
        <w:rPr>
          <w:sz w:val="24"/>
          <w:szCs w:val="24"/>
        </w:rPr>
        <w:t xml:space="preserve"> client have to be WIOA eligible to use LiL? Can staff use LiL for professional development?</w:t>
      </w:r>
      <w:r w:rsidR="00151815">
        <w:rPr>
          <w:sz w:val="24"/>
          <w:szCs w:val="24"/>
        </w:rPr>
        <w:t xml:space="preserve"> Can Business Services use LiL?</w:t>
      </w:r>
    </w:p>
    <w:p w14:paraId="2A558458" w14:textId="77777777" w:rsidR="00151815" w:rsidRDefault="00151815" w:rsidP="00406CC2">
      <w:pPr>
        <w:spacing w:after="0" w:line="240" w:lineRule="auto"/>
        <w:rPr>
          <w:sz w:val="24"/>
          <w:szCs w:val="24"/>
        </w:rPr>
      </w:pPr>
    </w:p>
    <w:p w14:paraId="2DC2DF77" w14:textId="77777777" w:rsidR="00151815" w:rsidRPr="00610B57" w:rsidRDefault="00151815" w:rsidP="00151815">
      <w:pPr>
        <w:spacing w:after="0" w:line="240" w:lineRule="auto"/>
        <w:rPr>
          <w:sz w:val="24"/>
          <w:szCs w:val="24"/>
        </w:rPr>
      </w:pPr>
      <w:r w:rsidRPr="00151815">
        <w:rPr>
          <w:b/>
          <w:sz w:val="24"/>
          <w:szCs w:val="24"/>
        </w:rPr>
        <w:t>A:</w:t>
      </w:r>
      <w:r>
        <w:rPr>
          <w:b/>
          <w:sz w:val="24"/>
          <w:szCs w:val="24"/>
        </w:rPr>
        <w:t xml:space="preserve"> </w:t>
      </w:r>
      <w:r w:rsidR="00BE7100" w:rsidRPr="00F66E59">
        <w:rPr>
          <w:i/>
          <w:sz w:val="24"/>
          <w:szCs w:val="24"/>
        </w:rPr>
        <w:t xml:space="preserve">From </w:t>
      </w:r>
      <w:r w:rsidR="00610B57" w:rsidRPr="00F66E59">
        <w:rPr>
          <w:i/>
          <w:sz w:val="24"/>
          <w:szCs w:val="24"/>
        </w:rPr>
        <w:t>ESD Policy</w:t>
      </w:r>
      <w:r w:rsidR="00BE7100" w:rsidRPr="00F66E59">
        <w:rPr>
          <w:i/>
          <w:sz w:val="24"/>
          <w:szCs w:val="24"/>
        </w:rPr>
        <w:t>:</w:t>
      </w:r>
    </w:p>
    <w:p w14:paraId="28039440" w14:textId="77777777" w:rsidR="00151815" w:rsidRPr="00151815" w:rsidRDefault="00151815" w:rsidP="00151815">
      <w:pPr>
        <w:spacing w:after="0" w:line="240" w:lineRule="auto"/>
        <w:ind w:left="720"/>
        <w:rPr>
          <w:i/>
          <w:sz w:val="24"/>
          <w:szCs w:val="24"/>
        </w:rPr>
      </w:pPr>
      <w:r w:rsidRPr="00151815">
        <w:rPr>
          <w:i/>
          <w:sz w:val="24"/>
          <w:szCs w:val="24"/>
        </w:rPr>
        <w:t>1. WIOA Eligibility:</w:t>
      </w:r>
    </w:p>
    <w:p w14:paraId="2C5B21AF" w14:textId="77777777" w:rsidR="00151815" w:rsidRPr="00B9712A" w:rsidRDefault="00151815" w:rsidP="00B9712A">
      <w:pPr>
        <w:pStyle w:val="ListParagraph"/>
        <w:numPr>
          <w:ilvl w:val="0"/>
          <w:numId w:val="2"/>
        </w:numPr>
        <w:spacing w:after="0" w:line="240" w:lineRule="auto"/>
        <w:ind w:left="1800"/>
        <w:rPr>
          <w:i/>
          <w:sz w:val="24"/>
          <w:szCs w:val="24"/>
        </w:rPr>
      </w:pPr>
      <w:r w:rsidRPr="00B9712A">
        <w:rPr>
          <w:i/>
          <w:sz w:val="24"/>
          <w:szCs w:val="24"/>
        </w:rPr>
        <w:t>We can use Statewide Activities Funds to provide career services</w:t>
      </w:r>
      <w:r w:rsidR="00002824">
        <w:rPr>
          <w:i/>
          <w:sz w:val="24"/>
          <w:szCs w:val="24"/>
        </w:rPr>
        <w:t>.</w:t>
      </w:r>
    </w:p>
    <w:p w14:paraId="3F280686" w14:textId="77777777" w:rsidR="00151815" w:rsidRPr="00B9712A" w:rsidRDefault="00151815" w:rsidP="00B9712A">
      <w:pPr>
        <w:pStyle w:val="ListParagraph"/>
        <w:numPr>
          <w:ilvl w:val="0"/>
          <w:numId w:val="2"/>
        </w:numPr>
        <w:spacing w:after="0" w:line="240" w:lineRule="auto"/>
        <w:ind w:left="1800"/>
        <w:rPr>
          <w:i/>
          <w:sz w:val="24"/>
          <w:szCs w:val="24"/>
        </w:rPr>
      </w:pPr>
      <w:r w:rsidRPr="00B9712A">
        <w:rPr>
          <w:i/>
          <w:sz w:val="24"/>
          <w:szCs w:val="24"/>
        </w:rPr>
        <w:t>While WIOA eligibility is nice to have, it is not always a requirement for Statewide</w:t>
      </w:r>
    </w:p>
    <w:p w14:paraId="7D8F153F" w14:textId="77777777" w:rsidR="00151815" w:rsidRPr="00B9712A" w:rsidRDefault="00151815" w:rsidP="00B9712A">
      <w:pPr>
        <w:pStyle w:val="ListParagraph"/>
        <w:spacing w:after="0" w:line="240" w:lineRule="auto"/>
        <w:ind w:left="1800"/>
        <w:rPr>
          <w:i/>
          <w:sz w:val="24"/>
          <w:szCs w:val="24"/>
        </w:rPr>
      </w:pPr>
      <w:r w:rsidRPr="00B9712A">
        <w:rPr>
          <w:i/>
          <w:sz w:val="24"/>
          <w:szCs w:val="24"/>
        </w:rPr>
        <w:t>Activities funds</w:t>
      </w:r>
      <w:r w:rsidR="00002824">
        <w:rPr>
          <w:i/>
          <w:sz w:val="24"/>
          <w:szCs w:val="24"/>
        </w:rPr>
        <w:t>.</w:t>
      </w:r>
    </w:p>
    <w:p w14:paraId="752F1888" w14:textId="77777777" w:rsidR="00151815" w:rsidRPr="00B9712A" w:rsidRDefault="00151815" w:rsidP="00B9712A">
      <w:pPr>
        <w:pStyle w:val="ListParagraph"/>
        <w:numPr>
          <w:ilvl w:val="0"/>
          <w:numId w:val="2"/>
        </w:numPr>
        <w:spacing w:after="0" w:line="240" w:lineRule="auto"/>
        <w:ind w:left="1800"/>
        <w:rPr>
          <w:i/>
          <w:sz w:val="24"/>
          <w:szCs w:val="24"/>
        </w:rPr>
      </w:pPr>
      <w:r w:rsidRPr="00B9712A">
        <w:rPr>
          <w:i/>
          <w:sz w:val="24"/>
          <w:szCs w:val="24"/>
        </w:rPr>
        <w:t>There should be a broad focus on WIOA populations in general. For example, with the</w:t>
      </w:r>
    </w:p>
    <w:p w14:paraId="2ACD02FB" w14:textId="77777777" w:rsidR="00151815" w:rsidRPr="00B9712A" w:rsidRDefault="00151815" w:rsidP="00B9712A">
      <w:pPr>
        <w:pStyle w:val="ListParagraph"/>
        <w:spacing w:after="0" w:line="240" w:lineRule="auto"/>
        <w:ind w:left="1800"/>
        <w:rPr>
          <w:i/>
          <w:sz w:val="24"/>
          <w:szCs w:val="24"/>
        </w:rPr>
      </w:pPr>
      <w:r w:rsidRPr="00B9712A">
        <w:rPr>
          <w:i/>
          <w:sz w:val="24"/>
          <w:szCs w:val="24"/>
        </w:rPr>
        <w:t>visions and goals of WIOA, it would be good to try and involve the focus populations</w:t>
      </w:r>
      <w:r w:rsidR="00002824">
        <w:rPr>
          <w:i/>
          <w:sz w:val="24"/>
          <w:szCs w:val="24"/>
        </w:rPr>
        <w:t>.</w:t>
      </w:r>
    </w:p>
    <w:p w14:paraId="15F82E7A" w14:textId="77777777" w:rsidR="00151815" w:rsidRPr="00B9712A" w:rsidRDefault="00151815" w:rsidP="00B9712A">
      <w:pPr>
        <w:pStyle w:val="ListParagraph"/>
        <w:numPr>
          <w:ilvl w:val="0"/>
          <w:numId w:val="2"/>
        </w:numPr>
        <w:spacing w:after="0" w:line="240" w:lineRule="auto"/>
        <w:ind w:left="1800"/>
        <w:rPr>
          <w:i/>
          <w:sz w:val="24"/>
          <w:szCs w:val="24"/>
        </w:rPr>
      </w:pPr>
      <w:r w:rsidRPr="00B9712A">
        <w:rPr>
          <w:i/>
          <w:sz w:val="24"/>
          <w:szCs w:val="24"/>
        </w:rPr>
        <w:t>Title 1 money is considered system money, so can be used by the One Stop required</w:t>
      </w:r>
    </w:p>
    <w:p w14:paraId="6D1BC93F" w14:textId="77777777" w:rsidR="00151815" w:rsidRPr="00B9712A" w:rsidRDefault="00002824" w:rsidP="00B9712A">
      <w:pPr>
        <w:pStyle w:val="ListParagraph"/>
        <w:spacing w:after="0" w:line="240" w:lineRule="auto"/>
        <w:ind w:left="1800"/>
        <w:rPr>
          <w:i/>
          <w:sz w:val="24"/>
          <w:szCs w:val="24"/>
        </w:rPr>
      </w:pPr>
      <w:r w:rsidRPr="00B9712A">
        <w:rPr>
          <w:i/>
          <w:sz w:val="24"/>
          <w:szCs w:val="24"/>
        </w:rPr>
        <w:t>P</w:t>
      </w:r>
      <w:r w:rsidR="00151815" w:rsidRPr="00B9712A">
        <w:rPr>
          <w:i/>
          <w:sz w:val="24"/>
          <w:szCs w:val="24"/>
        </w:rPr>
        <w:t>rograms</w:t>
      </w:r>
      <w:r>
        <w:rPr>
          <w:i/>
          <w:sz w:val="24"/>
          <w:szCs w:val="24"/>
        </w:rPr>
        <w:t>.</w:t>
      </w:r>
    </w:p>
    <w:p w14:paraId="5E04684D" w14:textId="77777777" w:rsidR="00B9712A" w:rsidRPr="00151815" w:rsidRDefault="00B9712A" w:rsidP="00151815">
      <w:pPr>
        <w:spacing w:after="0" w:line="240" w:lineRule="auto"/>
        <w:ind w:left="1440"/>
        <w:rPr>
          <w:i/>
          <w:sz w:val="24"/>
          <w:szCs w:val="24"/>
        </w:rPr>
      </w:pPr>
    </w:p>
    <w:p w14:paraId="6A2239E5" w14:textId="77777777" w:rsidR="00151815" w:rsidRPr="00151815" w:rsidRDefault="00151815" w:rsidP="00151815">
      <w:pPr>
        <w:spacing w:after="0" w:line="240" w:lineRule="auto"/>
        <w:ind w:left="720"/>
        <w:rPr>
          <w:i/>
          <w:sz w:val="24"/>
          <w:szCs w:val="24"/>
        </w:rPr>
      </w:pPr>
      <w:r w:rsidRPr="00151815">
        <w:rPr>
          <w:i/>
          <w:sz w:val="24"/>
          <w:szCs w:val="24"/>
        </w:rPr>
        <w:t>2. Staff use for professional development:</w:t>
      </w:r>
    </w:p>
    <w:p w14:paraId="3E1403EC" w14:textId="77777777" w:rsidR="00151815" w:rsidRPr="00B9712A" w:rsidRDefault="00151815" w:rsidP="00B9712A">
      <w:pPr>
        <w:pStyle w:val="ListParagraph"/>
        <w:numPr>
          <w:ilvl w:val="0"/>
          <w:numId w:val="5"/>
        </w:numPr>
        <w:spacing w:after="0" w:line="240" w:lineRule="auto"/>
        <w:rPr>
          <w:i/>
          <w:sz w:val="24"/>
          <w:szCs w:val="24"/>
        </w:rPr>
      </w:pPr>
      <w:r w:rsidRPr="00B9712A">
        <w:rPr>
          <w:i/>
          <w:sz w:val="24"/>
          <w:szCs w:val="24"/>
        </w:rPr>
        <w:t>There is no compliance issue with staff using licenses, just want to make sure we are</w:t>
      </w:r>
      <w:r w:rsidR="00B9712A">
        <w:rPr>
          <w:i/>
          <w:sz w:val="24"/>
          <w:szCs w:val="24"/>
        </w:rPr>
        <w:t xml:space="preserve"> </w:t>
      </w:r>
      <w:r w:rsidRPr="00B9712A">
        <w:rPr>
          <w:i/>
          <w:sz w:val="24"/>
          <w:szCs w:val="24"/>
        </w:rPr>
        <w:t>balancing with customer usage and that customers use the majority of the licenses</w:t>
      </w:r>
      <w:r w:rsidR="00B9712A" w:rsidRPr="00B9712A">
        <w:rPr>
          <w:i/>
          <w:sz w:val="24"/>
          <w:szCs w:val="24"/>
        </w:rPr>
        <w:t>.</w:t>
      </w:r>
    </w:p>
    <w:p w14:paraId="20E746A2" w14:textId="77777777" w:rsidR="00B9712A" w:rsidRPr="00151815" w:rsidRDefault="00B9712A" w:rsidP="00B9712A">
      <w:pPr>
        <w:spacing w:after="0" w:line="240" w:lineRule="auto"/>
        <w:ind w:left="1440"/>
        <w:rPr>
          <w:i/>
          <w:sz w:val="24"/>
          <w:szCs w:val="24"/>
        </w:rPr>
      </w:pPr>
    </w:p>
    <w:p w14:paraId="638D7CC8" w14:textId="77777777" w:rsidR="00151815" w:rsidRPr="00151815" w:rsidRDefault="00151815" w:rsidP="00151815">
      <w:pPr>
        <w:spacing w:after="0" w:line="240" w:lineRule="auto"/>
        <w:ind w:left="720"/>
        <w:rPr>
          <w:i/>
          <w:sz w:val="24"/>
          <w:szCs w:val="24"/>
        </w:rPr>
      </w:pPr>
      <w:r w:rsidRPr="00151815">
        <w:rPr>
          <w:i/>
          <w:sz w:val="24"/>
          <w:szCs w:val="24"/>
        </w:rPr>
        <w:t>3. Business Services:</w:t>
      </w:r>
    </w:p>
    <w:p w14:paraId="45F8ECE2" w14:textId="77777777" w:rsidR="00151815" w:rsidRPr="00B9712A" w:rsidRDefault="00151815" w:rsidP="00B9712A">
      <w:pPr>
        <w:pStyle w:val="ListParagraph"/>
        <w:numPr>
          <w:ilvl w:val="0"/>
          <w:numId w:val="6"/>
        </w:numPr>
        <w:spacing w:after="0" w:line="240" w:lineRule="auto"/>
        <w:rPr>
          <w:i/>
          <w:sz w:val="24"/>
          <w:szCs w:val="24"/>
        </w:rPr>
      </w:pPr>
      <w:r w:rsidRPr="00B9712A">
        <w:rPr>
          <w:i/>
          <w:sz w:val="24"/>
          <w:szCs w:val="24"/>
        </w:rPr>
        <w:t>Incumbent Worker Training – no prohibition with using Statewide Activities funds for</w:t>
      </w:r>
    </w:p>
    <w:p w14:paraId="79A466FA" w14:textId="77777777" w:rsidR="00151815" w:rsidRPr="00B9712A" w:rsidRDefault="00151815" w:rsidP="00B9712A">
      <w:pPr>
        <w:pStyle w:val="ListParagraph"/>
        <w:spacing w:after="0" w:line="240" w:lineRule="auto"/>
        <w:ind w:left="1800"/>
        <w:rPr>
          <w:i/>
          <w:sz w:val="24"/>
          <w:szCs w:val="24"/>
        </w:rPr>
      </w:pPr>
      <w:r w:rsidRPr="00B9712A">
        <w:rPr>
          <w:i/>
          <w:sz w:val="24"/>
          <w:szCs w:val="24"/>
        </w:rPr>
        <w:t>workers who are not WIOA eligible per the IWT policy, but make sure that IWT-related</w:t>
      </w:r>
    </w:p>
    <w:p w14:paraId="330F6C99" w14:textId="77777777" w:rsidR="00151815" w:rsidRPr="00B9712A" w:rsidRDefault="00151815" w:rsidP="00B9712A">
      <w:pPr>
        <w:pStyle w:val="ListParagraph"/>
        <w:spacing w:after="0" w:line="240" w:lineRule="auto"/>
        <w:ind w:left="1800"/>
        <w:rPr>
          <w:i/>
          <w:sz w:val="24"/>
          <w:szCs w:val="24"/>
        </w:rPr>
      </w:pPr>
      <w:r w:rsidRPr="00B9712A">
        <w:rPr>
          <w:i/>
          <w:sz w:val="24"/>
          <w:szCs w:val="24"/>
        </w:rPr>
        <w:t>training is not overshadowing customers in need</w:t>
      </w:r>
      <w:r w:rsidR="00002824">
        <w:rPr>
          <w:i/>
          <w:sz w:val="24"/>
          <w:szCs w:val="24"/>
        </w:rPr>
        <w:t>.</w:t>
      </w:r>
    </w:p>
    <w:p w14:paraId="71C5F315" w14:textId="77777777" w:rsidR="00151815" w:rsidRPr="00B9712A" w:rsidRDefault="00151815" w:rsidP="00B9712A">
      <w:pPr>
        <w:pStyle w:val="ListParagraph"/>
        <w:numPr>
          <w:ilvl w:val="0"/>
          <w:numId w:val="6"/>
        </w:numPr>
        <w:spacing w:after="0" w:line="240" w:lineRule="auto"/>
        <w:rPr>
          <w:i/>
          <w:sz w:val="24"/>
          <w:szCs w:val="24"/>
        </w:rPr>
      </w:pPr>
      <w:r w:rsidRPr="00B9712A">
        <w:rPr>
          <w:i/>
          <w:sz w:val="24"/>
          <w:szCs w:val="24"/>
        </w:rPr>
        <w:t>Training while on Shared Work – again, no prohibition, but make sure upskill training is</w:t>
      </w:r>
    </w:p>
    <w:p w14:paraId="520B7419" w14:textId="77777777" w:rsidR="00151815" w:rsidRPr="00B9712A" w:rsidRDefault="00151815" w:rsidP="00B9712A">
      <w:pPr>
        <w:pStyle w:val="ListParagraph"/>
        <w:spacing w:after="0" w:line="240" w:lineRule="auto"/>
        <w:ind w:left="1800"/>
        <w:rPr>
          <w:i/>
          <w:sz w:val="24"/>
          <w:szCs w:val="24"/>
        </w:rPr>
      </w:pPr>
      <w:r w:rsidRPr="00B9712A">
        <w:rPr>
          <w:i/>
          <w:sz w:val="24"/>
          <w:szCs w:val="24"/>
        </w:rPr>
        <w:t>not overshadowing serving customers in need</w:t>
      </w:r>
      <w:r w:rsidR="00002824">
        <w:rPr>
          <w:i/>
          <w:sz w:val="24"/>
          <w:szCs w:val="24"/>
        </w:rPr>
        <w:t>.</w:t>
      </w:r>
    </w:p>
    <w:p w14:paraId="1C71CC82" w14:textId="77777777" w:rsidR="00151815" w:rsidRDefault="00151815" w:rsidP="00406CC2">
      <w:pPr>
        <w:spacing w:after="0" w:line="240" w:lineRule="auto"/>
        <w:rPr>
          <w:sz w:val="24"/>
          <w:szCs w:val="24"/>
        </w:rPr>
      </w:pPr>
    </w:p>
    <w:p w14:paraId="54BF6081" w14:textId="77777777" w:rsidR="00151815" w:rsidRPr="003E3B08" w:rsidRDefault="00151815" w:rsidP="00406CC2">
      <w:pPr>
        <w:spacing w:after="0" w:line="240" w:lineRule="auto"/>
        <w:rPr>
          <w:sz w:val="24"/>
          <w:szCs w:val="24"/>
        </w:rPr>
      </w:pPr>
    </w:p>
    <w:p w14:paraId="4CE6276E" w14:textId="77777777" w:rsidR="00456EDA" w:rsidRDefault="00456EDA" w:rsidP="00F0063A">
      <w:pPr>
        <w:spacing w:after="0" w:line="240" w:lineRule="auto"/>
        <w:ind w:left="360" w:hanging="270"/>
        <w:rPr>
          <w:sz w:val="24"/>
          <w:szCs w:val="24"/>
        </w:rPr>
      </w:pPr>
      <w:r w:rsidRPr="00456EDA">
        <w:rPr>
          <w:b/>
          <w:sz w:val="24"/>
          <w:szCs w:val="24"/>
        </w:rPr>
        <w:t>Q:</w:t>
      </w:r>
      <w:r>
        <w:rPr>
          <w:sz w:val="24"/>
          <w:szCs w:val="24"/>
        </w:rPr>
        <w:t xml:space="preserve"> I</w:t>
      </w:r>
      <w:r w:rsidRPr="00456EDA">
        <w:rPr>
          <w:sz w:val="24"/>
          <w:szCs w:val="24"/>
        </w:rPr>
        <w:t>f a WIOA participant takes a LiL course that provides continuing education credits to maintain a certification or license granted by a third-party organization would this be able to count as an MSG? Since it would provide a certificate of completion that can be submitted to such organization.</w:t>
      </w:r>
    </w:p>
    <w:p w14:paraId="34837663" w14:textId="77777777" w:rsidR="00406CC2" w:rsidRDefault="00406CC2" w:rsidP="00406CC2">
      <w:pPr>
        <w:spacing w:after="0" w:line="240" w:lineRule="auto"/>
        <w:rPr>
          <w:sz w:val="24"/>
          <w:szCs w:val="24"/>
        </w:rPr>
      </w:pPr>
    </w:p>
    <w:p w14:paraId="32617C1F" w14:textId="0F8ABE0D" w:rsidR="006D6E92" w:rsidRPr="00424FD9" w:rsidRDefault="006D6E92" w:rsidP="001451E8">
      <w:pPr>
        <w:spacing w:after="0" w:line="240" w:lineRule="auto"/>
        <w:ind w:left="360" w:hanging="360"/>
        <w:contextualSpacing/>
        <w:rPr>
          <w:i/>
          <w:sz w:val="24"/>
          <w:szCs w:val="24"/>
        </w:rPr>
      </w:pPr>
      <w:r>
        <w:rPr>
          <w:b/>
          <w:sz w:val="24"/>
          <w:szCs w:val="24"/>
        </w:rPr>
        <w:t>A:</w:t>
      </w:r>
      <w:r>
        <w:rPr>
          <w:sz w:val="24"/>
          <w:szCs w:val="24"/>
        </w:rPr>
        <w:t xml:space="preserve"> </w:t>
      </w:r>
      <w:r w:rsidR="00424FD9" w:rsidRPr="00424FD9">
        <w:rPr>
          <w:i/>
          <w:sz w:val="24"/>
          <w:szCs w:val="24"/>
        </w:rPr>
        <w:t>“</w:t>
      </w:r>
      <w:r w:rsidRPr="00424FD9">
        <w:rPr>
          <w:i/>
          <w:sz w:val="24"/>
          <w:szCs w:val="24"/>
        </w:rPr>
        <w:t xml:space="preserve">Certificates or licenses granted by a third-party organization (such as the six professional organizations listed on the </w:t>
      </w:r>
      <w:r w:rsidR="00CE53B3" w:rsidRPr="00424FD9">
        <w:rPr>
          <w:i/>
          <w:sz w:val="24"/>
          <w:szCs w:val="24"/>
        </w:rPr>
        <w:t>LinkedIn</w:t>
      </w:r>
      <w:r w:rsidRPr="00424FD9">
        <w:rPr>
          <w:i/>
          <w:sz w:val="24"/>
          <w:szCs w:val="24"/>
        </w:rPr>
        <w:t xml:space="preserve"> Learning (LiL) website) for continuing education courses accessed through LiL would not count towards a measurable skill gain (MSG) because the Department of Labor (DOL), per the Workforce Training and Education Coordinating Board (WTECB), considers LiL to be a training platform and not a training program. That means that any specific training program on LiL (e.g., a coding course) would need to follow the approval process described in WIOA Title I </w:t>
      </w:r>
      <w:hyperlink r:id="rId5" w:history="1">
        <w:r w:rsidRPr="00424FD9">
          <w:rPr>
            <w:i/>
            <w:sz w:val="24"/>
            <w:szCs w:val="24"/>
          </w:rPr>
          <w:t>Policy 5611, Revision 2</w:t>
        </w:r>
      </w:hyperlink>
      <w:r w:rsidRPr="00424FD9">
        <w:rPr>
          <w:i/>
          <w:sz w:val="24"/>
          <w:szCs w:val="24"/>
        </w:rPr>
        <w:t xml:space="preserve"> (Governor’s Procedures for Determining Training Program Eligibility) to be added to the ETPL.   </w:t>
      </w:r>
    </w:p>
    <w:p w14:paraId="60E38807" w14:textId="77777777" w:rsidR="00424FD9" w:rsidRPr="00424FD9" w:rsidRDefault="00424FD9" w:rsidP="001451E8">
      <w:pPr>
        <w:spacing w:after="0" w:line="240" w:lineRule="auto"/>
        <w:ind w:left="360" w:hanging="360"/>
        <w:contextualSpacing/>
        <w:rPr>
          <w:i/>
          <w:sz w:val="24"/>
          <w:szCs w:val="24"/>
        </w:rPr>
      </w:pPr>
    </w:p>
    <w:p w14:paraId="13E65B6C" w14:textId="77777777" w:rsidR="006F1DA0" w:rsidRDefault="006D6E92" w:rsidP="001451E8">
      <w:pPr>
        <w:spacing w:after="0" w:line="240" w:lineRule="auto"/>
        <w:ind w:left="360"/>
        <w:rPr>
          <w:i/>
          <w:sz w:val="24"/>
          <w:szCs w:val="24"/>
        </w:rPr>
      </w:pPr>
      <w:r w:rsidRPr="00424FD9">
        <w:rPr>
          <w:i/>
          <w:sz w:val="24"/>
          <w:szCs w:val="24"/>
        </w:rPr>
        <w:t>WTECB has confirmed that there are no LiL courses currently on the ETPL. On that basis, LiL courses would not qualify as training and could not be applied towards either credential attainment or MSG.</w:t>
      </w:r>
      <w:r w:rsidR="00424FD9" w:rsidRPr="00424FD9">
        <w:rPr>
          <w:i/>
          <w:sz w:val="24"/>
          <w:szCs w:val="24"/>
        </w:rPr>
        <w:t>”</w:t>
      </w:r>
      <w:r w:rsidR="00424FD9">
        <w:rPr>
          <w:i/>
          <w:sz w:val="24"/>
          <w:szCs w:val="24"/>
        </w:rPr>
        <w:t xml:space="preserve"> </w:t>
      </w:r>
    </w:p>
    <w:p w14:paraId="074E00C6" w14:textId="77777777" w:rsidR="006F1DA0" w:rsidRDefault="006F1DA0" w:rsidP="001451E8">
      <w:pPr>
        <w:spacing w:after="0" w:line="240" w:lineRule="auto"/>
        <w:ind w:left="360" w:hanging="360"/>
        <w:jc w:val="right"/>
        <w:rPr>
          <w:sz w:val="24"/>
          <w:szCs w:val="24"/>
        </w:rPr>
      </w:pPr>
      <w:r w:rsidRPr="006F1DA0">
        <w:rPr>
          <w:i/>
          <w:sz w:val="24"/>
          <w:szCs w:val="24"/>
        </w:rPr>
        <w:t>- Employment System Policy</w:t>
      </w:r>
    </w:p>
    <w:p w14:paraId="56806ACB" w14:textId="77777777" w:rsidR="00EC36DA" w:rsidRDefault="00EC36DA" w:rsidP="00406CC2">
      <w:pPr>
        <w:spacing w:after="0" w:line="240" w:lineRule="auto"/>
        <w:contextualSpacing/>
        <w:rPr>
          <w:b/>
          <w:sz w:val="24"/>
          <w:szCs w:val="24"/>
        </w:rPr>
      </w:pPr>
    </w:p>
    <w:p w14:paraId="178DD6CC" w14:textId="77777777" w:rsidR="006D6E92" w:rsidRDefault="00C91B20" w:rsidP="00406CC2">
      <w:pPr>
        <w:spacing w:after="0" w:line="240" w:lineRule="auto"/>
        <w:contextualSpacing/>
        <w:rPr>
          <w:sz w:val="24"/>
          <w:szCs w:val="24"/>
        </w:rPr>
      </w:pPr>
      <w:r>
        <w:rPr>
          <w:b/>
          <w:sz w:val="24"/>
          <w:szCs w:val="24"/>
        </w:rPr>
        <w:t xml:space="preserve">Q: </w:t>
      </w:r>
      <w:r>
        <w:rPr>
          <w:sz w:val="24"/>
          <w:szCs w:val="24"/>
        </w:rPr>
        <w:t>How should</w:t>
      </w:r>
      <w:r w:rsidR="00BA0E9C">
        <w:rPr>
          <w:sz w:val="24"/>
          <w:szCs w:val="24"/>
        </w:rPr>
        <w:t xml:space="preserve"> LinkedIn Learning be recorded in ETO?</w:t>
      </w:r>
    </w:p>
    <w:p w14:paraId="37761CE9" w14:textId="77777777" w:rsidR="00BA0E9C" w:rsidRDefault="00BA0E9C" w:rsidP="00406CC2">
      <w:pPr>
        <w:spacing w:after="0" w:line="240" w:lineRule="auto"/>
        <w:contextualSpacing/>
        <w:rPr>
          <w:sz w:val="24"/>
          <w:szCs w:val="24"/>
        </w:rPr>
      </w:pPr>
    </w:p>
    <w:p w14:paraId="493FF774" w14:textId="77777777" w:rsidR="00EC36DA" w:rsidRDefault="00BA0E9C" w:rsidP="00A45A69">
      <w:pPr>
        <w:spacing w:after="0" w:line="240" w:lineRule="auto"/>
        <w:ind w:left="270" w:hanging="270"/>
        <w:contextualSpacing/>
        <w:rPr>
          <w:sz w:val="24"/>
          <w:szCs w:val="24"/>
        </w:rPr>
      </w:pPr>
      <w:r>
        <w:rPr>
          <w:b/>
          <w:sz w:val="24"/>
          <w:szCs w:val="24"/>
        </w:rPr>
        <w:t>A:</w:t>
      </w:r>
      <w:r>
        <w:rPr>
          <w:sz w:val="24"/>
          <w:szCs w:val="24"/>
        </w:rPr>
        <w:t xml:space="preserve"> LinkedIn Learning should be recorded as a</w:t>
      </w:r>
      <w:r w:rsidR="00F34235">
        <w:rPr>
          <w:sz w:val="24"/>
          <w:szCs w:val="24"/>
        </w:rPr>
        <w:t xml:space="preserve"> </w:t>
      </w:r>
      <w:r>
        <w:rPr>
          <w:sz w:val="24"/>
          <w:szCs w:val="24"/>
        </w:rPr>
        <w:t>Basic Service Touchpoint</w:t>
      </w:r>
      <w:r w:rsidR="00F34235">
        <w:rPr>
          <w:sz w:val="24"/>
          <w:szCs w:val="24"/>
        </w:rPr>
        <w:t xml:space="preserve"> that is a Career Guidance Services.</w:t>
      </w:r>
      <w:r w:rsidR="00557E81">
        <w:rPr>
          <w:sz w:val="24"/>
          <w:szCs w:val="24"/>
        </w:rPr>
        <w:t xml:space="preserve"> Please refer to </w:t>
      </w:r>
      <w:r w:rsidR="00557E81" w:rsidRPr="00557E81">
        <w:rPr>
          <w:i/>
          <w:sz w:val="24"/>
          <w:szCs w:val="24"/>
        </w:rPr>
        <w:t>Attachment A LinkedIn ETO Touchpoint PowerPoint</w:t>
      </w:r>
      <w:r w:rsidR="00557E81">
        <w:rPr>
          <w:sz w:val="24"/>
          <w:szCs w:val="24"/>
        </w:rPr>
        <w:t xml:space="preserve"> to get step-by-step instruction</w:t>
      </w:r>
      <w:r w:rsidR="00EC36DA">
        <w:rPr>
          <w:sz w:val="24"/>
          <w:szCs w:val="24"/>
        </w:rPr>
        <w:t xml:space="preserve"> in recording the touchpoint and viewing the information via a report in ETO.</w:t>
      </w:r>
    </w:p>
    <w:p w14:paraId="3604EAB1" w14:textId="77777777" w:rsidR="00EC36DA" w:rsidRDefault="00EC36DA" w:rsidP="00406CC2">
      <w:pPr>
        <w:spacing w:after="0" w:line="240" w:lineRule="auto"/>
        <w:contextualSpacing/>
        <w:rPr>
          <w:sz w:val="24"/>
          <w:szCs w:val="24"/>
        </w:rPr>
      </w:pPr>
    </w:p>
    <w:p w14:paraId="75AC6210" w14:textId="77777777" w:rsidR="00EC36DA" w:rsidRDefault="00EC36DA" w:rsidP="00406CC2">
      <w:pPr>
        <w:spacing w:after="0" w:line="240" w:lineRule="auto"/>
        <w:contextualSpacing/>
        <w:rPr>
          <w:sz w:val="24"/>
          <w:szCs w:val="24"/>
        </w:rPr>
      </w:pPr>
    </w:p>
    <w:p w14:paraId="713AF0E0" w14:textId="77777777" w:rsidR="00BA0E9C" w:rsidRDefault="00EC36DA" w:rsidP="000853D5">
      <w:pPr>
        <w:spacing w:after="0" w:line="240" w:lineRule="auto"/>
        <w:ind w:left="270" w:hanging="270"/>
        <w:contextualSpacing/>
        <w:rPr>
          <w:sz w:val="24"/>
          <w:szCs w:val="24"/>
        </w:rPr>
      </w:pPr>
      <w:r>
        <w:rPr>
          <w:b/>
          <w:sz w:val="24"/>
          <w:szCs w:val="24"/>
        </w:rPr>
        <w:t>Q:</w:t>
      </w:r>
      <w:r w:rsidRPr="00EC36DA">
        <w:t xml:space="preserve"> </w:t>
      </w:r>
      <w:r w:rsidR="002E2299">
        <w:rPr>
          <w:sz w:val="24"/>
          <w:szCs w:val="24"/>
        </w:rPr>
        <w:t>How would you</w:t>
      </w:r>
      <w:r w:rsidRPr="00EC36DA">
        <w:rPr>
          <w:sz w:val="24"/>
          <w:szCs w:val="24"/>
        </w:rPr>
        <w:t xml:space="preserve"> record the activity dates in ETO for a LinkedIn Learning pathway and/or course that may take longer than a day to complete</w:t>
      </w:r>
      <w:r w:rsidR="002E2299">
        <w:rPr>
          <w:sz w:val="24"/>
          <w:szCs w:val="24"/>
        </w:rPr>
        <w:t>?</w:t>
      </w:r>
      <w:r w:rsidRPr="00EC36DA">
        <w:rPr>
          <w:sz w:val="24"/>
          <w:szCs w:val="24"/>
        </w:rPr>
        <w:t xml:space="preserve"> Since the guidance was to record a LiL activity as a Basic Career Guidance Services (3.0) Touchpoint in ETO, which is not considered a durational service, ETO auto-fills the end date to be equal to the start date of the LiL activity. </w:t>
      </w:r>
      <w:r w:rsidR="008125F2" w:rsidRPr="00EC36DA">
        <w:rPr>
          <w:sz w:val="24"/>
          <w:szCs w:val="24"/>
        </w:rPr>
        <w:t>So,</w:t>
      </w:r>
      <w:r w:rsidRPr="00EC36DA">
        <w:rPr>
          <w:sz w:val="24"/>
          <w:szCs w:val="24"/>
        </w:rPr>
        <w:t xml:space="preserve"> for LiL pathways would each course within that pathway need to be entered as a separate Basic Career Guidance Service (3.0) Touchpoint in ETO? </w:t>
      </w:r>
      <w:r w:rsidR="002E2299" w:rsidRPr="00EC36DA">
        <w:rPr>
          <w:sz w:val="24"/>
          <w:szCs w:val="24"/>
        </w:rPr>
        <w:t>Also,</w:t>
      </w:r>
      <w:r w:rsidRPr="00EC36DA">
        <w:rPr>
          <w:sz w:val="24"/>
          <w:szCs w:val="24"/>
        </w:rPr>
        <w:t xml:space="preserve"> if an individual takes more than one day to complete a LiL course, how should the activity dates be recorded since ETO does not allow you to manually type/change the activity end date?</w:t>
      </w:r>
      <w:r w:rsidR="00557E81" w:rsidRPr="00EC36DA">
        <w:rPr>
          <w:sz w:val="24"/>
          <w:szCs w:val="24"/>
        </w:rPr>
        <w:t xml:space="preserve"> </w:t>
      </w:r>
    </w:p>
    <w:p w14:paraId="7D37C552" w14:textId="77777777" w:rsidR="00673FB9" w:rsidRDefault="00673FB9" w:rsidP="00406CC2">
      <w:pPr>
        <w:spacing w:after="0" w:line="240" w:lineRule="auto"/>
        <w:contextualSpacing/>
        <w:rPr>
          <w:sz w:val="24"/>
          <w:szCs w:val="24"/>
        </w:rPr>
      </w:pPr>
    </w:p>
    <w:p w14:paraId="5F99D60B" w14:textId="77777777" w:rsidR="00673FB9" w:rsidRPr="006C029B" w:rsidRDefault="00673FB9" w:rsidP="00406CC2">
      <w:pPr>
        <w:spacing w:after="0" w:line="240" w:lineRule="auto"/>
        <w:contextualSpacing/>
        <w:rPr>
          <w:i/>
          <w:sz w:val="24"/>
          <w:szCs w:val="24"/>
        </w:rPr>
      </w:pPr>
      <w:r>
        <w:rPr>
          <w:b/>
          <w:sz w:val="24"/>
          <w:szCs w:val="24"/>
        </w:rPr>
        <w:t xml:space="preserve">A: </w:t>
      </w:r>
      <w:r w:rsidR="00406CC2" w:rsidRPr="006F1DA0">
        <w:rPr>
          <w:i/>
          <w:sz w:val="24"/>
          <w:szCs w:val="24"/>
        </w:rPr>
        <w:t xml:space="preserve">Employment </w:t>
      </w:r>
      <w:r w:rsidR="00406CC2">
        <w:rPr>
          <w:i/>
          <w:sz w:val="24"/>
          <w:szCs w:val="24"/>
        </w:rPr>
        <w:t xml:space="preserve">System </w:t>
      </w:r>
      <w:r w:rsidRPr="006C029B">
        <w:rPr>
          <w:i/>
          <w:sz w:val="24"/>
          <w:szCs w:val="24"/>
        </w:rPr>
        <w:t>Policy suggests the following:</w:t>
      </w:r>
    </w:p>
    <w:p w14:paraId="2BB55C8F" w14:textId="77777777" w:rsidR="006C029B" w:rsidRDefault="00673FB9" w:rsidP="00406CC2">
      <w:pPr>
        <w:pStyle w:val="ListParagraph"/>
        <w:numPr>
          <w:ilvl w:val="0"/>
          <w:numId w:val="1"/>
        </w:numPr>
        <w:spacing w:after="0" w:line="240" w:lineRule="auto"/>
        <w:rPr>
          <w:i/>
          <w:sz w:val="24"/>
          <w:szCs w:val="24"/>
        </w:rPr>
      </w:pPr>
      <w:r w:rsidRPr="006C029B">
        <w:rPr>
          <w:i/>
          <w:sz w:val="24"/>
          <w:szCs w:val="24"/>
        </w:rPr>
        <w:t>How are LiL courses within a “pathway” recorded in ETO? (Note: LiL “pathways” are not to be confused with the WIOA definition of “career pathway” as defined in WIOA section (3)(7)).</w:t>
      </w:r>
    </w:p>
    <w:p w14:paraId="67AC9763" w14:textId="77777777" w:rsidR="006C029B" w:rsidRDefault="00673FB9" w:rsidP="00406CC2">
      <w:pPr>
        <w:pStyle w:val="ListParagraph"/>
        <w:numPr>
          <w:ilvl w:val="1"/>
          <w:numId w:val="1"/>
        </w:numPr>
        <w:spacing w:after="0" w:line="240" w:lineRule="auto"/>
        <w:rPr>
          <w:i/>
          <w:sz w:val="24"/>
          <w:szCs w:val="24"/>
        </w:rPr>
      </w:pPr>
      <w:r w:rsidRPr="006C029B">
        <w:rPr>
          <w:i/>
          <w:sz w:val="24"/>
          <w:szCs w:val="24"/>
        </w:rPr>
        <w:t xml:space="preserve">Per Donna Mack’s description of a LiL “pathway” as several courses focused around a larger topic which can be taken separately and at different times (e.g., MS Office skills, consisting of Word, Excel, etc.) each separate class would be entered as a separate service.  </w:t>
      </w:r>
    </w:p>
    <w:p w14:paraId="6338AF11" w14:textId="77777777" w:rsidR="006C029B" w:rsidRDefault="006C029B" w:rsidP="00406CC2">
      <w:pPr>
        <w:pStyle w:val="ListParagraph"/>
        <w:spacing w:after="0" w:line="240" w:lineRule="auto"/>
        <w:ind w:left="1440"/>
        <w:rPr>
          <w:i/>
          <w:sz w:val="24"/>
          <w:szCs w:val="24"/>
        </w:rPr>
      </w:pPr>
    </w:p>
    <w:p w14:paraId="10A113EB" w14:textId="77777777" w:rsidR="006C029B" w:rsidRDefault="00673FB9" w:rsidP="00406CC2">
      <w:pPr>
        <w:pStyle w:val="ListParagraph"/>
        <w:numPr>
          <w:ilvl w:val="0"/>
          <w:numId w:val="1"/>
        </w:numPr>
        <w:spacing w:after="0" w:line="240" w:lineRule="auto"/>
        <w:rPr>
          <w:i/>
          <w:sz w:val="24"/>
          <w:szCs w:val="24"/>
        </w:rPr>
      </w:pPr>
      <w:r w:rsidRPr="006C029B">
        <w:rPr>
          <w:i/>
          <w:sz w:val="24"/>
          <w:szCs w:val="24"/>
        </w:rPr>
        <w:t>If an individual takes more than one day to complete a LiL course, how should the activity dates be recorded since ETO does not allow staff to manually type/change the activity end date?</w:t>
      </w:r>
    </w:p>
    <w:p w14:paraId="0E85D1B3" w14:textId="77777777" w:rsidR="00673FB9" w:rsidRPr="00406CC2" w:rsidRDefault="00673FB9" w:rsidP="00406CC2">
      <w:pPr>
        <w:pStyle w:val="ListParagraph"/>
        <w:numPr>
          <w:ilvl w:val="1"/>
          <w:numId w:val="1"/>
        </w:numPr>
        <w:spacing w:after="0" w:line="240" w:lineRule="auto"/>
        <w:rPr>
          <w:i/>
          <w:sz w:val="24"/>
          <w:szCs w:val="24"/>
        </w:rPr>
      </w:pPr>
      <w:r w:rsidRPr="006C029B">
        <w:rPr>
          <w:i/>
          <w:sz w:val="24"/>
          <w:szCs w:val="24"/>
        </w:rPr>
        <w:t>A LiL course that is categorized as a basic Career Guidance Services (3.0) is recorded only one time, whether or not it is completed in one day. Staff should case note the circumstances of the course completion in such circumstances</w:t>
      </w:r>
      <w:r w:rsidRPr="006C029B">
        <w:rPr>
          <w:sz w:val="24"/>
          <w:szCs w:val="24"/>
        </w:rPr>
        <w:t>.</w:t>
      </w:r>
    </w:p>
    <w:p w14:paraId="3ECA83C3" w14:textId="77777777" w:rsidR="00406CC2" w:rsidRPr="006C029B" w:rsidRDefault="00406CC2" w:rsidP="00406CC2">
      <w:pPr>
        <w:pStyle w:val="ListParagraph"/>
        <w:spacing w:after="0" w:line="240" w:lineRule="auto"/>
        <w:ind w:left="1440"/>
        <w:rPr>
          <w:i/>
          <w:sz w:val="24"/>
          <w:szCs w:val="24"/>
        </w:rPr>
      </w:pPr>
    </w:p>
    <w:p w14:paraId="7A2DB178" w14:textId="77777777" w:rsidR="00406CC2" w:rsidRPr="006C029B" w:rsidRDefault="00406CC2">
      <w:pPr>
        <w:pStyle w:val="ListParagraph"/>
        <w:spacing w:after="0" w:line="240" w:lineRule="auto"/>
        <w:ind w:left="1440"/>
        <w:rPr>
          <w:i/>
          <w:sz w:val="24"/>
          <w:szCs w:val="24"/>
        </w:rPr>
      </w:pPr>
    </w:p>
    <w:sectPr w:rsidR="00406CC2" w:rsidRPr="006C029B" w:rsidSect="00406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2AE"/>
    <w:multiLevelType w:val="hybridMultilevel"/>
    <w:tmpl w:val="EF60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2A0D"/>
    <w:multiLevelType w:val="hybridMultilevel"/>
    <w:tmpl w:val="F9861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E368AD"/>
    <w:multiLevelType w:val="hybridMultilevel"/>
    <w:tmpl w:val="443AC002"/>
    <w:lvl w:ilvl="0" w:tplc="BF387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D65D1D"/>
    <w:multiLevelType w:val="hybridMultilevel"/>
    <w:tmpl w:val="C902F936"/>
    <w:lvl w:ilvl="0" w:tplc="BF387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DC23F2"/>
    <w:multiLevelType w:val="hybridMultilevel"/>
    <w:tmpl w:val="ED50DE16"/>
    <w:lvl w:ilvl="0" w:tplc="6960F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395F35"/>
    <w:multiLevelType w:val="hybridMultilevel"/>
    <w:tmpl w:val="76121E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DA"/>
    <w:rsid w:val="00002824"/>
    <w:rsid w:val="000853D5"/>
    <w:rsid w:val="001451E8"/>
    <w:rsid w:val="00151815"/>
    <w:rsid w:val="002E2299"/>
    <w:rsid w:val="003E3B08"/>
    <w:rsid w:val="00406CC2"/>
    <w:rsid w:val="00424FD9"/>
    <w:rsid w:val="004417EB"/>
    <w:rsid w:val="00456EDA"/>
    <w:rsid w:val="004F1927"/>
    <w:rsid w:val="00557E81"/>
    <w:rsid w:val="00610B57"/>
    <w:rsid w:val="00673FB9"/>
    <w:rsid w:val="006C029B"/>
    <w:rsid w:val="006D6E92"/>
    <w:rsid w:val="006F1DA0"/>
    <w:rsid w:val="008125F2"/>
    <w:rsid w:val="00951AF3"/>
    <w:rsid w:val="00A45A69"/>
    <w:rsid w:val="00B9712A"/>
    <w:rsid w:val="00BA0E9C"/>
    <w:rsid w:val="00BE7100"/>
    <w:rsid w:val="00C91B20"/>
    <w:rsid w:val="00CE53B3"/>
    <w:rsid w:val="00D4126C"/>
    <w:rsid w:val="00E7458E"/>
    <w:rsid w:val="00EC36DA"/>
    <w:rsid w:val="00F0063A"/>
    <w:rsid w:val="00F34235"/>
    <w:rsid w:val="00F66E59"/>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4145"/>
  <w15:chartTrackingRefBased/>
  <w15:docId w15:val="{1B7658A6-EEA4-4266-BCBD-931DD9E1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E92"/>
    <w:rPr>
      <w:color w:val="0563C1"/>
      <w:u w:val="single"/>
    </w:rPr>
  </w:style>
  <w:style w:type="paragraph" w:styleId="ListParagraph">
    <w:name w:val="List Paragraph"/>
    <w:basedOn w:val="Normal"/>
    <w:uiPriority w:val="34"/>
    <w:qFormat/>
    <w:rsid w:val="006C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54087">
      <w:bodyDiv w:val="1"/>
      <w:marLeft w:val="0"/>
      <w:marRight w:val="0"/>
      <w:marTop w:val="0"/>
      <w:marBottom w:val="0"/>
      <w:divBdr>
        <w:top w:val="none" w:sz="0" w:space="0" w:color="auto"/>
        <w:left w:val="none" w:sz="0" w:space="0" w:color="auto"/>
        <w:bottom w:val="none" w:sz="0" w:space="0" w:color="auto"/>
        <w:right w:val="none" w:sz="0" w:space="0" w:color="auto"/>
      </w:divBdr>
    </w:div>
    <w:div w:id="829519125">
      <w:bodyDiv w:val="1"/>
      <w:marLeft w:val="0"/>
      <w:marRight w:val="0"/>
      <w:marTop w:val="0"/>
      <w:marBottom w:val="0"/>
      <w:divBdr>
        <w:top w:val="none" w:sz="0" w:space="0" w:color="auto"/>
        <w:left w:val="none" w:sz="0" w:space="0" w:color="auto"/>
        <w:bottom w:val="none" w:sz="0" w:space="0" w:color="auto"/>
        <w:right w:val="none" w:sz="0" w:space="0" w:color="auto"/>
      </w:divBdr>
    </w:div>
    <w:div w:id="19100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emultisites.blob.core.windows.net/media/WPC/adm/policy/5611-2.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6" ma:contentTypeDescription="Create a new document." ma:contentTypeScope="" ma:versionID="9d8c4631431f6df15220c930d45aa7f6">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05c6e99c0646f00a610f1a6e53cd7836"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7BA358-66D0-44F0-A324-C87F1A88EF1E}"/>
</file>

<file path=customXml/itemProps2.xml><?xml version="1.0" encoding="utf-8"?>
<ds:datastoreItem xmlns:ds="http://schemas.openxmlformats.org/officeDocument/2006/customXml" ds:itemID="{E80FBA0E-C66C-4755-9A7F-362A22B8CBA7}"/>
</file>

<file path=customXml/itemProps3.xml><?xml version="1.0" encoding="utf-8"?>
<ds:datastoreItem xmlns:ds="http://schemas.openxmlformats.org/officeDocument/2006/customXml" ds:itemID="{A6201145-3CC6-41D4-9E59-20B04E95CCA1}"/>
</file>

<file path=docProps/app.xml><?xml version="1.0" encoding="utf-8"?>
<Properties xmlns="http://schemas.openxmlformats.org/officeDocument/2006/extended-properties" xmlns:vt="http://schemas.openxmlformats.org/officeDocument/2006/docPropsVTypes">
  <Template>Normal</Template>
  <TotalTime>44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Cordova</dc:creator>
  <cp:keywords/>
  <dc:description/>
  <cp:lastModifiedBy>Mack, Donna R (ESD)</cp:lastModifiedBy>
  <cp:revision>6</cp:revision>
  <dcterms:created xsi:type="dcterms:W3CDTF">2021-11-23T16:25:00Z</dcterms:created>
  <dcterms:modified xsi:type="dcterms:W3CDTF">2021-12-10T23:30:00Z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ies>
</file>