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7BE9431B"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BF11F0">
        <w:rPr>
          <w:b/>
          <w:sz w:val="28"/>
          <w:szCs w:val="28"/>
          <w:u w:val="single"/>
        </w:rPr>
        <w:t>Minutes</w:t>
      </w:r>
      <w:r w:rsidR="00910688">
        <w:rPr>
          <w:b/>
          <w:sz w:val="28"/>
          <w:szCs w:val="28"/>
          <w:u w:val="single"/>
        </w:rPr>
        <w:t xml:space="preserve"> </w:t>
      </w:r>
      <w:r w:rsidR="009A2C14">
        <w:rPr>
          <w:b/>
          <w:sz w:val="28"/>
          <w:szCs w:val="28"/>
          <w:u w:val="single"/>
        </w:rPr>
        <w:t>7-</w:t>
      </w:r>
      <w:r w:rsidR="009F5D5F">
        <w:rPr>
          <w:b/>
          <w:sz w:val="28"/>
          <w:szCs w:val="28"/>
          <w:u w:val="single"/>
        </w:rPr>
        <w:t>2</w:t>
      </w:r>
      <w:r w:rsidR="003216BD">
        <w:rPr>
          <w:b/>
          <w:sz w:val="28"/>
          <w:szCs w:val="28"/>
          <w:u w:val="single"/>
        </w:rPr>
        <w:t>8</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15C3E0A7" w14:textId="6AA379FE" w:rsidR="00AB56F0" w:rsidRDefault="005F0D29" w:rsidP="00486552">
      <w:pPr>
        <w:spacing w:after="0"/>
        <w:jc w:val="center"/>
        <w:rPr>
          <w:rFonts w:eastAsia="Times New Roman"/>
          <w:b/>
          <w:sz w:val="28"/>
          <w:szCs w:val="28"/>
        </w:rPr>
      </w:pPr>
      <w:r>
        <w:t>Please be advised your image will be captured and recorded during the videoconference. Your participation in this videoconference equals consent to be recorded as required by law.</w:t>
      </w:r>
      <w:r w:rsidR="00E11D03">
        <w:rPr>
          <w:rFonts w:eastAsia="Times New Roman"/>
          <w:b/>
          <w:sz w:val="28"/>
          <w:szCs w:val="28"/>
        </w:rPr>
        <w:t xml:space="preserve"> </w:t>
      </w:r>
    </w:p>
    <w:p w14:paraId="0F0921A2" w14:textId="3187E303" w:rsidR="00D31D0B" w:rsidRDefault="00ED3247" w:rsidP="00A75560">
      <w:pPr>
        <w:spacing w:after="0"/>
        <w:rPr>
          <w:rFonts w:eastAsia="Times New Roman"/>
          <w:b/>
        </w:rPr>
      </w:pPr>
      <w:r w:rsidRPr="00815E19">
        <w:rPr>
          <w:rFonts w:eastAsia="Times New Roman"/>
          <w:b/>
        </w:rPr>
        <w:t>New Business</w:t>
      </w:r>
    </w:p>
    <w:p w14:paraId="19A33613" w14:textId="786B7A0D" w:rsidR="00B20D11" w:rsidRDefault="00B20D11" w:rsidP="00961A7D">
      <w:pPr>
        <w:pStyle w:val="ListParagraph"/>
        <w:numPr>
          <w:ilvl w:val="0"/>
          <w:numId w:val="1"/>
        </w:numPr>
        <w:spacing w:after="0"/>
      </w:pPr>
      <w:r>
        <w:t xml:space="preserve">ETO maintenance – </w:t>
      </w:r>
      <w:r w:rsidR="005C422B">
        <w:t xml:space="preserve">On 7/29/21 </w:t>
      </w:r>
      <w:r w:rsidR="00286B22">
        <w:t>SSG is pushing a release that includes high priority defect fixed to ETO</w:t>
      </w:r>
      <w:r w:rsidR="006732C1">
        <w:t>. Please submit a remedy ticket if you experience issues with your ETO experience after this release.</w:t>
      </w:r>
    </w:p>
    <w:p w14:paraId="5E6110C1" w14:textId="3DA02C91" w:rsidR="00286B22" w:rsidRDefault="00286B22" w:rsidP="00286B22">
      <w:pPr>
        <w:pStyle w:val="ListParagraph"/>
        <w:numPr>
          <w:ilvl w:val="1"/>
          <w:numId w:val="1"/>
        </w:numPr>
        <w:spacing w:after="0"/>
      </w:pPr>
      <w:r>
        <w:t xml:space="preserve">Expired PW popup was difficult to complete after </w:t>
      </w:r>
      <w:r w:rsidR="006732C1">
        <w:t>rebranding</w:t>
      </w:r>
    </w:p>
    <w:p w14:paraId="5E6446CF" w14:textId="51C7DB5E" w:rsidR="00286B22" w:rsidRDefault="00286B22" w:rsidP="00286B22">
      <w:pPr>
        <w:pStyle w:val="ListParagraph"/>
        <w:numPr>
          <w:ilvl w:val="1"/>
          <w:numId w:val="1"/>
        </w:numPr>
        <w:spacing w:after="0"/>
      </w:pPr>
      <w:r w:rsidRPr="00286B22">
        <w:t>Previously, an end user would not be able to view a custom demographic file attachment for a participant after they were enrolled in a new program. Now, end users can properly view attachments for participants.</w:t>
      </w:r>
      <w:r w:rsidRPr="00286B22">
        <w:rPr>
          <w:rFonts w:ascii="Helvetica" w:hAnsi="Helvetica" w:cs="Helvetica"/>
          <w:color w:val="565867"/>
          <w:sz w:val="26"/>
          <w:szCs w:val="26"/>
          <w:shd w:val="clear" w:color="auto" w:fill="FFFFFF"/>
        </w:rPr>
        <w:t xml:space="preserve"> </w:t>
      </w:r>
      <w:r w:rsidRPr="00286B22">
        <w:t>Previously, there was a defect with the API where it was not respecting the site timeout setting. Now, the API appropriately respects the timeout setting.</w:t>
      </w:r>
    </w:p>
    <w:p w14:paraId="7B379277" w14:textId="2B9BBBA4" w:rsidR="00286B22" w:rsidRDefault="00286B22" w:rsidP="00286B22">
      <w:pPr>
        <w:pStyle w:val="ListParagraph"/>
        <w:numPr>
          <w:ilvl w:val="1"/>
          <w:numId w:val="1"/>
        </w:numPr>
        <w:spacing w:after="0"/>
      </w:pPr>
      <w:r w:rsidRPr="00286B22">
        <w:t>Previously, when creating a new user, the country code setting for that user would revert back to the Afghanistan country code after an initial MFA check, despite being set as a different country code. Now, the country code setting is maintained after the initial MFA check.</w:t>
      </w:r>
    </w:p>
    <w:p w14:paraId="74256372" w14:textId="40B36B45" w:rsidR="00286B22" w:rsidRDefault="00286B22" w:rsidP="00286B22">
      <w:pPr>
        <w:pStyle w:val="ListParagraph"/>
        <w:numPr>
          <w:ilvl w:val="1"/>
          <w:numId w:val="1"/>
        </w:numPr>
        <w:spacing w:after="0"/>
      </w:pPr>
      <w:r w:rsidRPr="00286B22">
        <w:t>The Electronic Signature element is now supported by the Topaz Chrome Browser extension in ETO.</w:t>
      </w:r>
    </w:p>
    <w:p w14:paraId="45DB167B" w14:textId="7C6472AC" w:rsidR="005C422B" w:rsidRPr="005C422B" w:rsidRDefault="00B20D11" w:rsidP="005C422B">
      <w:pPr>
        <w:pStyle w:val="ListParagraph"/>
        <w:numPr>
          <w:ilvl w:val="0"/>
          <w:numId w:val="1"/>
        </w:numPr>
        <w:spacing w:after="0"/>
        <w:rPr>
          <w:i/>
          <w:iCs/>
        </w:rPr>
      </w:pPr>
      <w:r>
        <w:t xml:space="preserve">WSWA maintenance – </w:t>
      </w:r>
      <w:r w:rsidR="005C422B">
        <w:t>The following message</w:t>
      </w:r>
      <w:r w:rsidR="005C422B" w:rsidRPr="005C422B">
        <w:t xml:space="preserve"> will be added to the WorkSourceWA login page</w:t>
      </w:r>
      <w:r w:rsidR="005C422B">
        <w:t xml:space="preserve"> during the 7/29/21 maintenance</w:t>
      </w:r>
      <w:r w:rsidR="005C422B" w:rsidRPr="005C422B">
        <w:t xml:space="preserve">: </w:t>
      </w:r>
    </w:p>
    <w:p w14:paraId="5E055C53" w14:textId="77279DBB" w:rsidR="005C422B" w:rsidRPr="005C422B" w:rsidRDefault="005C422B" w:rsidP="005C422B">
      <w:pPr>
        <w:pStyle w:val="ListParagraph"/>
        <w:numPr>
          <w:ilvl w:val="1"/>
          <w:numId w:val="1"/>
        </w:numPr>
        <w:spacing w:after="0"/>
        <w:rPr>
          <w:i/>
          <w:iCs/>
        </w:rPr>
      </w:pPr>
      <w:r w:rsidRPr="005C422B">
        <w:rPr>
          <w:i/>
          <w:iCs/>
        </w:rPr>
        <w:t>SecureAccess Washington (SAW) is undergoing scheduled maintenance from 3 a.m. to 8 a.m., Thursday, July 29. You will not be able to log in to WorkSourceWA to access your saved documents, apply for jobs, or post job postings during this time. You can still use other features on WorkSourceWA that do not require you to log in, including searching for jobs, careers tools, and the resources menu.</w:t>
      </w:r>
    </w:p>
    <w:p w14:paraId="369243AF" w14:textId="0EB3D251" w:rsidR="00B20D11" w:rsidRDefault="00B20D11" w:rsidP="005C422B">
      <w:pPr>
        <w:pStyle w:val="ListParagraph"/>
        <w:numPr>
          <w:ilvl w:val="0"/>
          <w:numId w:val="1"/>
        </w:numPr>
        <w:spacing w:after="0"/>
      </w:pPr>
      <w:r>
        <w:t>Velaro maintenance – nothing this week</w:t>
      </w:r>
    </w:p>
    <w:p w14:paraId="78A0240F" w14:textId="174FF351" w:rsidR="00B20D11" w:rsidRDefault="00B20D11" w:rsidP="00B20D11">
      <w:pPr>
        <w:pStyle w:val="ListParagraph"/>
        <w:numPr>
          <w:ilvl w:val="1"/>
          <w:numId w:val="1"/>
        </w:numPr>
        <w:spacing w:after="0"/>
      </w:pPr>
      <w:r>
        <w:t xml:space="preserve">WA-4202 system </w:t>
      </w:r>
      <w:r w:rsidR="00162D21">
        <w:t>updates</w:t>
      </w:r>
      <w:r>
        <w:t xml:space="preserve"> 9/23/21 to resolve WSWA issues using live chat functionality on mobile devices. System is using outdated version of Velaro on WSWA. </w:t>
      </w:r>
    </w:p>
    <w:p w14:paraId="0B77BE8E" w14:textId="1386D47C" w:rsidR="00961A7D" w:rsidRDefault="006F491F" w:rsidP="00B20D11">
      <w:pPr>
        <w:pStyle w:val="ListParagraph"/>
        <w:numPr>
          <w:ilvl w:val="0"/>
          <w:numId w:val="1"/>
        </w:numPr>
        <w:spacing w:after="0"/>
      </w:pPr>
      <w:r>
        <w:t>Tickets into production –</w:t>
      </w:r>
      <w:r w:rsidR="00201D05">
        <w:t xml:space="preserve"> </w:t>
      </w:r>
    </w:p>
    <w:p w14:paraId="27D64AB3" w14:textId="02542513"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9F5D5F">
        <w:rPr>
          <w:color w:val="FF0000"/>
        </w:rPr>
        <w:t>8/2</w:t>
      </w:r>
      <w:r w:rsidR="00584EE6" w:rsidRPr="0071073F">
        <w:rPr>
          <w:color w:val="FF0000"/>
        </w:rPr>
        <w:t xml:space="preserve">/21 </w:t>
      </w:r>
      <w:r w:rsidR="0072606F" w:rsidRPr="0071073F">
        <w:rPr>
          <w:color w:val="FF0000"/>
        </w:rPr>
        <w:t xml:space="preserve"> </w:t>
      </w:r>
      <w:r w:rsidR="009F5D5F">
        <w:rPr>
          <w:color w:val="FF0000"/>
        </w:rPr>
        <w:t>9</w:t>
      </w:r>
      <w:r w:rsidR="00C63795">
        <w:rPr>
          <w:color w:val="FF0000"/>
        </w:rPr>
        <w:t>:30-</w:t>
      </w:r>
      <w:r w:rsidR="009F5D5F">
        <w:rPr>
          <w:color w:val="FF0000"/>
        </w:rPr>
        <w:t>11</w:t>
      </w:r>
      <w:r w:rsidR="003E3CD2">
        <w:rPr>
          <w:color w:val="FF0000"/>
        </w:rPr>
        <w:t>:50</w:t>
      </w:r>
      <w:r w:rsidR="009F5D5F">
        <w:rPr>
          <w:color w:val="FF0000"/>
        </w:rPr>
        <w:t>A</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0"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0"/>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0"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6422B73B" w14:textId="669AB981" w:rsidR="009D0846" w:rsidRDefault="009D0846" w:rsidP="009D0846">
      <w:pPr>
        <w:pStyle w:val="ListParagraph"/>
        <w:numPr>
          <w:ilvl w:val="1"/>
          <w:numId w:val="1"/>
        </w:numPr>
      </w:pPr>
      <w:r>
        <w:t>Internet Explorer will be sunsetting October 2021</w:t>
      </w:r>
    </w:p>
    <w:p w14:paraId="58CB778F" w14:textId="43E51DBD" w:rsidR="009D0846" w:rsidRDefault="009D0846" w:rsidP="009D0846">
      <w:pPr>
        <w:pStyle w:val="ListParagraph"/>
        <w:numPr>
          <w:ilvl w:val="2"/>
          <w:numId w:val="1"/>
        </w:numPr>
      </w:pPr>
      <w:r>
        <w:t>Prepare by transitioning to Chrome or Edge</w:t>
      </w:r>
      <w:r w:rsidR="007B5B4F">
        <w:t xml:space="preserve"> – Mary demo</w:t>
      </w:r>
    </w:p>
    <w:p w14:paraId="23B85F21" w14:textId="635B8289" w:rsidR="009D0846" w:rsidRDefault="009D0846" w:rsidP="009D0846">
      <w:pPr>
        <w:pStyle w:val="ListParagraph"/>
        <w:numPr>
          <w:ilvl w:val="3"/>
          <w:numId w:val="1"/>
        </w:numPr>
      </w:pPr>
      <w:r>
        <w:t>Add sites to prevent pop up blockers</w:t>
      </w:r>
    </w:p>
    <w:p w14:paraId="48ABA520" w14:textId="2FE1D4F0" w:rsidR="007B5B4F" w:rsidRDefault="007B5B4F" w:rsidP="009D0846">
      <w:pPr>
        <w:pStyle w:val="ListParagraph"/>
        <w:numPr>
          <w:ilvl w:val="3"/>
          <w:numId w:val="1"/>
        </w:numPr>
      </w:pPr>
      <w:r>
        <w:t>Clearing cache can remove the allowed site</w:t>
      </w:r>
    </w:p>
    <w:p w14:paraId="5FC27D36" w14:textId="4941C7D4" w:rsidR="00EF0720" w:rsidRDefault="006732C1" w:rsidP="009D0846">
      <w:pPr>
        <w:pStyle w:val="ListParagraph"/>
        <w:numPr>
          <w:ilvl w:val="3"/>
          <w:numId w:val="1"/>
        </w:numPr>
      </w:pPr>
      <w:r>
        <w:t xml:space="preserve">Desk </w:t>
      </w:r>
      <w:r w:rsidR="00554BFA">
        <w:t>aid:</w:t>
      </w:r>
      <w:r>
        <w:t xml:space="preserve"> </w:t>
      </w:r>
      <w:r w:rsidR="007B5B4F">
        <w:t xml:space="preserve">coming soon </w:t>
      </w:r>
      <w:r>
        <w:t>in the works</w:t>
      </w:r>
      <w:r w:rsidR="007B5B4F">
        <w:t xml:space="preserve"> and will be posted on WPC</w:t>
      </w:r>
    </w:p>
    <w:p w14:paraId="25E1EFEC" w14:textId="0BA985D6" w:rsidR="00C843F5" w:rsidRDefault="00C843F5" w:rsidP="00C843F5">
      <w:pPr>
        <w:pStyle w:val="ListParagraph"/>
        <w:numPr>
          <w:ilvl w:val="1"/>
          <w:numId w:val="1"/>
        </w:numPr>
      </w:pPr>
      <w:r>
        <w:t xml:space="preserve">RESEA TouchPoints Initial/follow-up– projected go live August </w:t>
      </w:r>
      <w:r w:rsidR="007B5B4F">
        <w:t xml:space="preserve">5, </w:t>
      </w:r>
      <w:r>
        <w:t>2021</w:t>
      </w:r>
    </w:p>
    <w:p w14:paraId="67BDF810" w14:textId="434E2A0B" w:rsidR="00C843F5" w:rsidRDefault="00C843F5" w:rsidP="00C843F5">
      <w:pPr>
        <w:pStyle w:val="ListParagraph"/>
        <w:numPr>
          <w:ilvl w:val="2"/>
          <w:numId w:val="1"/>
        </w:numPr>
      </w:pPr>
      <w:r>
        <w:t xml:space="preserve">Training provided by RESEA </w:t>
      </w:r>
    </w:p>
    <w:p w14:paraId="28AFBED7" w14:textId="77777777" w:rsidR="00CE1067" w:rsidRDefault="00CE1067" w:rsidP="00CE1067"/>
    <w:p w14:paraId="4A5D23C3" w14:textId="68698134" w:rsidR="008E7F32" w:rsidRDefault="00DC60F5" w:rsidP="00DC60F5">
      <w:pPr>
        <w:pStyle w:val="ListParagraph"/>
        <w:numPr>
          <w:ilvl w:val="0"/>
          <w:numId w:val="1"/>
        </w:numPr>
      </w:pPr>
      <w:r>
        <w:t>What’s new on WPC</w:t>
      </w:r>
      <w:r w:rsidR="00A03443">
        <w:t xml:space="preserve"> – </w:t>
      </w:r>
      <w:r w:rsidR="00C76C99">
        <w:t xml:space="preserve"> </w:t>
      </w:r>
    </w:p>
    <w:p w14:paraId="328E931D" w14:textId="7F43EE74" w:rsidR="009A2C14" w:rsidRDefault="009A2C14" w:rsidP="009A2C14">
      <w:pPr>
        <w:pStyle w:val="ListParagraph"/>
        <w:numPr>
          <w:ilvl w:val="1"/>
          <w:numId w:val="1"/>
        </w:numPr>
      </w:pPr>
      <w:r>
        <w:t xml:space="preserve">Reports </w:t>
      </w:r>
      <w:r w:rsidR="00F503B0">
        <w:t>–</w:t>
      </w:r>
      <w:r w:rsidR="006732C1">
        <w:t xml:space="preserve"> no changes this week</w:t>
      </w:r>
    </w:p>
    <w:p w14:paraId="7496364C" w14:textId="3C812833" w:rsidR="00C843F5" w:rsidRDefault="00EF0720" w:rsidP="00C843F5">
      <w:pPr>
        <w:pStyle w:val="ListParagraph"/>
        <w:numPr>
          <w:ilvl w:val="1"/>
          <w:numId w:val="1"/>
        </w:numPr>
      </w:pPr>
      <w:r>
        <w:t>Resources for changes to Skype meetings and Teams and Webex meetings are now on the</w:t>
      </w:r>
      <w:r w:rsidR="00C843F5">
        <w:t xml:space="preserve"> </w:t>
      </w:r>
      <w:hyperlink r:id="rId11" w:history="1">
        <w:r w:rsidR="00C843F5" w:rsidRPr="00EF0720">
          <w:rPr>
            <w:rStyle w:val="Hyperlink"/>
          </w:rPr>
          <w:t>‘Teleworking information’</w:t>
        </w:r>
      </w:hyperlink>
      <w:r w:rsidR="00C843F5">
        <w:t xml:space="preserve"> page</w:t>
      </w:r>
    </w:p>
    <w:p w14:paraId="41EFF848" w14:textId="0CC6FB6B" w:rsidR="005E44DE" w:rsidRDefault="005E44DE" w:rsidP="00C843F5">
      <w:pPr>
        <w:pStyle w:val="ListParagraph"/>
        <w:numPr>
          <w:ilvl w:val="1"/>
          <w:numId w:val="1"/>
        </w:numPr>
      </w:pPr>
      <w:r>
        <w:t>WDC contacts list updated</w:t>
      </w:r>
    </w:p>
    <w:p w14:paraId="680155AC" w14:textId="77777777" w:rsidR="005C422B" w:rsidRDefault="009D0846" w:rsidP="008D4322">
      <w:pPr>
        <w:pStyle w:val="ListParagraph"/>
        <w:numPr>
          <w:ilvl w:val="0"/>
          <w:numId w:val="5"/>
        </w:numPr>
      </w:pPr>
      <w:r>
        <w:t>Training issues/o</w:t>
      </w:r>
      <w:r w:rsidR="00D70C80">
        <w:t>pen discussion –</w:t>
      </w:r>
      <w:r w:rsidR="005C422B">
        <w:t xml:space="preserve"> </w:t>
      </w:r>
    </w:p>
    <w:p w14:paraId="15465394" w14:textId="018028CE" w:rsidR="00287271" w:rsidRDefault="00086FAF" w:rsidP="005C422B">
      <w:pPr>
        <w:pStyle w:val="ListParagraph"/>
        <w:numPr>
          <w:ilvl w:val="1"/>
          <w:numId w:val="5"/>
        </w:numPr>
      </w:pPr>
      <w:r>
        <w:t xml:space="preserve">Phishing scheme reported to WS office. </w:t>
      </w:r>
      <w:r w:rsidR="00EF0720">
        <w:t>A job</w:t>
      </w:r>
      <w:r>
        <w:t xml:space="preserve"> seeker replied to an employment opportunity </w:t>
      </w:r>
      <w:r w:rsidR="00EF0720">
        <w:t xml:space="preserve">from this email address </w:t>
      </w:r>
      <w:hyperlink r:id="rId12" w:history="1">
        <w:r w:rsidR="00EF0720">
          <w:rPr>
            <w:rStyle w:val="Hyperlink"/>
          </w:rPr>
          <w:t>info@staffgroupwest.com</w:t>
        </w:r>
      </w:hyperlink>
      <w:r w:rsidR="00EF0720">
        <w:t xml:space="preserve">. They </w:t>
      </w:r>
      <w:r>
        <w:t>received a follow-up email requesting $1000</w:t>
      </w:r>
      <w:r w:rsidR="00EF0720">
        <w:t xml:space="preserve"> which the seeker paid</w:t>
      </w:r>
      <w:r>
        <w:t xml:space="preserve">. </w:t>
      </w:r>
      <w:r w:rsidR="00EF0720">
        <w:t xml:space="preserve">Further review of this job seekers WSWA account shows this employer has </w:t>
      </w:r>
      <w:r w:rsidR="00EF0720" w:rsidRPr="00EF0720">
        <w:rPr>
          <w:i/>
          <w:iCs/>
        </w:rPr>
        <w:t>no connection</w:t>
      </w:r>
      <w:r w:rsidR="00EF0720">
        <w:t xml:space="preserve"> to WSWA. </w:t>
      </w:r>
    </w:p>
    <w:p w14:paraId="2CAA13F2" w14:textId="43948FDB" w:rsidR="007B5B4F" w:rsidRDefault="007B5B4F" w:rsidP="005C422B">
      <w:pPr>
        <w:pStyle w:val="ListParagraph"/>
        <w:numPr>
          <w:ilvl w:val="1"/>
          <w:numId w:val="5"/>
        </w:numPr>
      </w:pPr>
      <w:r>
        <w:t>How to find participants in ETO</w:t>
      </w:r>
      <w:r w:rsidR="00554BFA">
        <w:t xml:space="preserve"> </w:t>
      </w:r>
      <w:hyperlink r:id="rId13" w:history="1">
        <w:r w:rsidR="00554BFA" w:rsidRPr="00554BFA">
          <w:rPr>
            <w:rStyle w:val="Hyperlink"/>
          </w:rPr>
          <w:t>desk aid</w:t>
        </w:r>
      </w:hyperlink>
    </w:p>
    <w:p w14:paraId="39E0FDA9" w14:textId="4B4F7A07" w:rsidR="007B5B4F" w:rsidRDefault="007B5B4F" w:rsidP="005C422B">
      <w:pPr>
        <w:pStyle w:val="ListParagraph"/>
        <w:numPr>
          <w:ilvl w:val="1"/>
          <w:numId w:val="5"/>
        </w:numPr>
      </w:pPr>
      <w:r>
        <w:t>Working with participants who opt-out of data sharing for non-ESD staff</w:t>
      </w:r>
      <w:r w:rsidR="00554BFA">
        <w:t xml:space="preserve"> </w:t>
      </w:r>
      <w:hyperlink r:id="rId14" w:history="1">
        <w:r w:rsidR="00554BFA" w:rsidRPr="00554BFA">
          <w:rPr>
            <w:rStyle w:val="Hyperlink"/>
          </w:rPr>
          <w:t>desk aid</w:t>
        </w:r>
      </w:hyperlink>
    </w:p>
    <w:p w14:paraId="14ADD8DB" w14:textId="7B4C92B7" w:rsidR="007B5B4F" w:rsidRDefault="007B5B4F" w:rsidP="005C422B">
      <w:pPr>
        <w:pStyle w:val="ListParagraph"/>
        <w:numPr>
          <w:ilvl w:val="1"/>
          <w:numId w:val="5"/>
        </w:numPr>
      </w:pPr>
      <w:r>
        <w:t xml:space="preserve">Updating WSWA profiles via  impersonation using the   </w:t>
      </w:r>
      <w:r>
        <w:rPr>
          <w:noProof/>
        </w:rPr>
        <w:drawing>
          <wp:inline distT="0" distB="0" distL="0" distR="0" wp14:anchorId="076749EF" wp14:editId="1DFC0376">
            <wp:extent cx="529306" cy="418842"/>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091" cy="459820"/>
                    </a:xfrm>
                    <a:prstGeom prst="rect">
                      <a:avLst/>
                    </a:prstGeom>
                  </pic:spPr>
                </pic:pic>
              </a:graphicData>
            </a:graphic>
          </wp:inline>
        </w:drawing>
      </w:r>
      <w:r>
        <w:t>widget on the participant dashboard</w:t>
      </w:r>
    </w:p>
    <w:p w14:paraId="00A3CD9E" w14:textId="558FC319" w:rsidR="007B5B4F" w:rsidRDefault="007B5B4F" w:rsidP="007B5B4F">
      <w:pPr>
        <w:pStyle w:val="ListParagraph"/>
        <w:numPr>
          <w:ilvl w:val="2"/>
          <w:numId w:val="5"/>
        </w:numPr>
      </w:pPr>
      <w:r>
        <w:t xml:space="preserve">Always ask participant for permission before </w:t>
      </w:r>
      <w:r w:rsidR="00554BFA">
        <w:t>impersonation</w:t>
      </w:r>
    </w:p>
    <w:p w14:paraId="53C81848" w14:textId="63188D7E" w:rsidR="007B5B4F" w:rsidRDefault="007B5B4F" w:rsidP="007B5B4F">
      <w:pPr>
        <w:pStyle w:val="ListParagraph"/>
        <w:numPr>
          <w:ilvl w:val="2"/>
          <w:numId w:val="5"/>
        </w:numPr>
      </w:pPr>
      <w:r>
        <w:t>Changes in WSWA to ETO are instant after clicking ‘Apply’</w:t>
      </w:r>
    </w:p>
    <w:p w14:paraId="6236A17D" w14:textId="30B697AB" w:rsidR="007B5B4F" w:rsidRDefault="007B5B4F" w:rsidP="007B5B4F">
      <w:pPr>
        <w:pStyle w:val="ListParagraph"/>
        <w:numPr>
          <w:ilvl w:val="2"/>
          <w:numId w:val="5"/>
        </w:numPr>
      </w:pPr>
      <w:r>
        <w:t>Remember to click ‘End Session’ when finished</w:t>
      </w:r>
    </w:p>
    <w:p w14:paraId="0A4309A4" w14:textId="1B8052E1"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6"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09071F01"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7" w:history="1">
        <w:r w:rsidR="00BD7EFC" w:rsidRPr="003307F9">
          <w:rPr>
            <w:rStyle w:val="Hyperlink"/>
          </w:rPr>
          <w:t>https://esd.wa.gov/unemployment/job-search-requirements</w:t>
        </w:r>
      </w:hyperlink>
      <w:r w:rsidR="00BD7EFC">
        <w:t xml:space="preserve"> </w:t>
      </w:r>
    </w:p>
    <w:p w14:paraId="2D5A758C" w14:textId="77777777" w:rsidR="00E55854" w:rsidRPr="00E55854" w:rsidRDefault="00E55854" w:rsidP="00E55854">
      <w:pPr>
        <w:spacing w:after="150" w:line="240" w:lineRule="auto"/>
        <w:rPr>
          <w:rFonts w:ascii="Calibri" w:eastAsia="Calibri" w:hAnsi="Calibri" w:cs="Calibri"/>
        </w:rPr>
      </w:pPr>
      <w:r w:rsidRPr="00E55854">
        <w:rPr>
          <w:rFonts w:ascii="Calibri" w:eastAsia="Calibri" w:hAnsi="Calibri" w:cs="Calibri"/>
          <w:b/>
          <w:bCs/>
        </w:rPr>
        <w:t>OLYMPIA –</w:t>
      </w:r>
      <w:r w:rsidRPr="00E55854">
        <w:rPr>
          <w:rFonts w:ascii="Calibri" w:eastAsia="Calibri" w:hAnsi="Calibri" w:cs="Calibri"/>
        </w:rPr>
        <w:t> During the week of July 11 – July 17, there were 5,061 initial regular unemployment claims (down 7.8 percent from the prior week) and 315,848 total claims for all unemployment benefit categories (down 7.2 percent from the prior week) filed by Washingtonians, according to the Employment Security Department (ESD).  </w:t>
      </w:r>
    </w:p>
    <w:p w14:paraId="025C57A7"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Initial regular claims applications are now 83 percent below weekly new claims applications during the same period last year during the pandemic.</w:t>
      </w:r>
    </w:p>
    <w:p w14:paraId="2B9B4257"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The 4-week moving average for initial claims is at 5,995 (as compared to the 4-week moving average of initial claims pre-pandemic of 6,071 initial claims). That level represents the lowest levels of initial claims for regular benefits since the onset of the COVID-19 pandemic last year, and the sixth consecutive week initial claims have reached a new pandemic low.</w:t>
      </w:r>
    </w:p>
    <w:p w14:paraId="7E4CBE93"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Initial claims for Pandemic Unemployment Assistance (PUA), which increased by 241 applications over the week, occurred in three occupations: Production, Office and Administration as well as Building and Grounds Cleaning &amp; Maintenance</w:t>
      </w:r>
    </w:p>
    <w:p w14:paraId="6137FC5F"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Initial claims for Pandemic Emergency Unemployment Compensation (PEUC), which increased by 78 applications over the week, occurred in three service categories: Administrative and Support, Waste Management and Remediation as well as Professional, Scientific and Technical services.</w:t>
      </w:r>
    </w:p>
    <w:p w14:paraId="3BD9A2CD"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Continued/ongoing claims for all benefits decreased over the week</w:t>
      </w:r>
    </w:p>
    <w:p w14:paraId="27476798" w14:textId="77777777" w:rsidR="00E55854" w:rsidRPr="00E55854" w:rsidRDefault="00E55854" w:rsidP="00E55854">
      <w:pPr>
        <w:numPr>
          <w:ilvl w:val="0"/>
          <w:numId w:val="17"/>
        </w:numPr>
        <w:spacing w:after="105" w:line="240" w:lineRule="auto"/>
        <w:rPr>
          <w:rFonts w:ascii="Calibri" w:eastAsia="Times New Roman" w:hAnsi="Calibri" w:cs="Calibri"/>
        </w:rPr>
      </w:pPr>
      <w:r w:rsidRPr="00E55854">
        <w:rPr>
          <w:rFonts w:ascii="Calibri" w:eastAsia="Times New Roman" w:hAnsi="Calibri" w:cs="Calibri"/>
        </w:rPr>
        <w:t>Decreases in layoffs in Educational Services and Retail Trade contributed to the decrease in regular initial claims last week.</w:t>
      </w:r>
    </w:p>
    <w:p w14:paraId="795DF2E1" w14:textId="77777777" w:rsidR="00E55854" w:rsidRPr="00E55854" w:rsidRDefault="00E55854" w:rsidP="00E55854">
      <w:pPr>
        <w:spacing w:after="150" w:line="240" w:lineRule="auto"/>
        <w:rPr>
          <w:rFonts w:ascii="Calibri" w:eastAsia="Calibri" w:hAnsi="Calibri" w:cs="Calibri"/>
        </w:rPr>
      </w:pPr>
      <w:r w:rsidRPr="00E55854">
        <w:rPr>
          <w:rFonts w:ascii="Calibri" w:eastAsia="Calibri" w:hAnsi="Calibri" w:cs="Calibri"/>
        </w:rPr>
        <w:t>In the week ending July 17, ESD paid out over $190 million for 235,804 individual claims. </w:t>
      </w:r>
    </w:p>
    <w:p w14:paraId="243B9894" w14:textId="77777777" w:rsidR="00E55854" w:rsidRPr="00E55854" w:rsidRDefault="00E55854" w:rsidP="00E55854">
      <w:pPr>
        <w:spacing w:after="150" w:line="240" w:lineRule="auto"/>
        <w:rPr>
          <w:rFonts w:ascii="Calibri" w:eastAsia="Calibri" w:hAnsi="Calibri" w:cs="Calibri"/>
        </w:rPr>
      </w:pPr>
      <w:r w:rsidRPr="00E55854">
        <w:rPr>
          <w:rFonts w:ascii="Calibri" w:eastAsia="Calibri" w:hAnsi="Calibri" w:cs="Calibri"/>
        </w:rPr>
        <w:t>“Since March 2020, ESD has paid more than $20 billion in benefits to over 1.1 million Washingtonians,” said ESD Commissioner Cami Feek. “This is a significant milestone and represents critical dollars that have helped individuals and families buy food, pay bills and pay their rent or mortgage during the crisis of the last sixteen months.”</w:t>
      </w:r>
    </w:p>
    <w:p w14:paraId="05F89ECF" w14:textId="3159927A" w:rsidR="00753E30" w:rsidRDefault="00FB3094" w:rsidP="009A2C14">
      <w:pPr>
        <w:spacing w:after="0"/>
        <w:rPr>
          <w:b/>
        </w:rPr>
      </w:pPr>
      <w:r w:rsidRPr="00FB3094">
        <w:rPr>
          <w:b/>
        </w:rPr>
        <w:lastRenderedPageBreak/>
        <w:t>CHAT</w:t>
      </w:r>
    </w:p>
    <w:p w14:paraId="685CC189" w14:textId="36F187A3" w:rsidR="001813FD" w:rsidRDefault="001813FD" w:rsidP="001813FD">
      <w:pPr>
        <w:tabs>
          <w:tab w:val="left" w:pos="2760"/>
        </w:tabs>
        <w:spacing w:after="0"/>
        <w:rPr>
          <w:bCs/>
          <w:i/>
          <w:iCs/>
          <w:color w:val="C00000"/>
        </w:rPr>
      </w:pPr>
      <w:r w:rsidRPr="001813FD">
        <w:rPr>
          <w:bCs/>
        </w:rPr>
        <w:t xml:space="preserve">from Adriana Lopez to everyone:   Who do we direct our clients to when they need to change anything on their profile and they need help? </w:t>
      </w:r>
      <w:r w:rsidR="00B34D7E" w:rsidRPr="00B34D7E">
        <w:rPr>
          <w:bCs/>
          <w:i/>
          <w:iCs/>
          <w:color w:val="C00000"/>
        </w:rPr>
        <w:t xml:space="preserve">You can help </w:t>
      </w:r>
      <w:r w:rsidR="00554BFA" w:rsidRPr="00B34D7E">
        <w:rPr>
          <w:bCs/>
          <w:i/>
          <w:iCs/>
          <w:color w:val="C00000"/>
        </w:rPr>
        <w:t>clients</w:t>
      </w:r>
      <w:r w:rsidR="00B34D7E" w:rsidRPr="00B34D7E">
        <w:rPr>
          <w:bCs/>
          <w:i/>
          <w:iCs/>
          <w:color w:val="C00000"/>
        </w:rPr>
        <w:t xml:space="preserve"> change their WSWA account via impersonation</w:t>
      </w:r>
    </w:p>
    <w:p w14:paraId="13AC95B0" w14:textId="77777777" w:rsidR="00B34D7E" w:rsidRPr="00B34D7E" w:rsidRDefault="00B34D7E" w:rsidP="001813FD">
      <w:pPr>
        <w:tabs>
          <w:tab w:val="left" w:pos="2760"/>
        </w:tabs>
        <w:spacing w:after="0"/>
        <w:rPr>
          <w:bCs/>
          <w:i/>
          <w:iCs/>
          <w:color w:val="C00000"/>
        </w:rPr>
      </w:pPr>
    </w:p>
    <w:p w14:paraId="5A2AFC98" w14:textId="032F35C3" w:rsidR="001813FD" w:rsidRPr="008158F9" w:rsidRDefault="001813FD" w:rsidP="001813FD">
      <w:pPr>
        <w:tabs>
          <w:tab w:val="left" w:pos="2760"/>
        </w:tabs>
        <w:spacing w:after="0"/>
        <w:rPr>
          <w:bCs/>
          <w:i/>
          <w:iCs/>
          <w:color w:val="C00000"/>
        </w:rPr>
      </w:pPr>
      <w:r w:rsidRPr="001813FD">
        <w:rPr>
          <w:bCs/>
        </w:rPr>
        <w:t xml:space="preserve">from Adriana Lopez to everyone:  </w:t>
      </w:r>
      <w:r w:rsidR="00B34D7E" w:rsidRPr="001813FD">
        <w:rPr>
          <w:bCs/>
        </w:rPr>
        <w:t>I'm in OIC not Worksource</w:t>
      </w:r>
      <w:r w:rsidR="008158F9">
        <w:rPr>
          <w:bCs/>
        </w:rPr>
        <w:t xml:space="preserve">, </w:t>
      </w:r>
      <w:r w:rsidRPr="001813FD">
        <w:rPr>
          <w:bCs/>
        </w:rPr>
        <w:t>I'm trying to pull their seeker summary and they need to set to public</w:t>
      </w:r>
      <w:r w:rsidR="008158F9">
        <w:rPr>
          <w:bCs/>
        </w:rPr>
        <w:t xml:space="preserve"> (customer has opted out of data  sharing)</w:t>
      </w:r>
      <w:r w:rsidRPr="001813FD">
        <w:rPr>
          <w:bCs/>
        </w:rPr>
        <w:t xml:space="preserve"> </w:t>
      </w:r>
      <w:r w:rsidR="008158F9" w:rsidRPr="008158F9">
        <w:rPr>
          <w:bCs/>
          <w:i/>
          <w:iCs/>
          <w:color w:val="C00000"/>
        </w:rPr>
        <w:t>Check out the desk aid on the WPC for finding participants and opt-out</w:t>
      </w:r>
    </w:p>
    <w:p w14:paraId="452E248D" w14:textId="77777777" w:rsidR="008158F9" w:rsidRPr="001813FD" w:rsidRDefault="008158F9" w:rsidP="001813FD">
      <w:pPr>
        <w:tabs>
          <w:tab w:val="left" w:pos="2760"/>
        </w:tabs>
        <w:spacing w:after="0"/>
        <w:rPr>
          <w:bCs/>
        </w:rPr>
      </w:pPr>
    </w:p>
    <w:p w14:paraId="11BF4D08" w14:textId="5E74BE30" w:rsidR="001813FD" w:rsidRPr="008158F9" w:rsidRDefault="001813FD" w:rsidP="001813FD">
      <w:pPr>
        <w:tabs>
          <w:tab w:val="left" w:pos="2760"/>
        </w:tabs>
        <w:spacing w:after="0"/>
        <w:rPr>
          <w:bCs/>
          <w:i/>
          <w:iCs/>
          <w:color w:val="C00000"/>
        </w:rPr>
      </w:pPr>
      <w:r w:rsidRPr="001813FD">
        <w:rPr>
          <w:bCs/>
        </w:rPr>
        <w:t>from Heather Shin to everyone:  Is there a possibility that partner staff can opt in the participant?</w:t>
      </w:r>
      <w:r w:rsidR="008158F9">
        <w:rPr>
          <w:bCs/>
        </w:rPr>
        <w:t xml:space="preserve"> </w:t>
      </w:r>
      <w:r w:rsidR="008158F9" w:rsidRPr="008158F9">
        <w:rPr>
          <w:bCs/>
          <w:i/>
          <w:iCs/>
          <w:color w:val="C00000"/>
        </w:rPr>
        <w:t>Only ESD staff can make that change.</w:t>
      </w:r>
    </w:p>
    <w:p w14:paraId="3FB12A61" w14:textId="77777777" w:rsidR="008158F9" w:rsidRPr="001813FD" w:rsidRDefault="008158F9" w:rsidP="001813FD">
      <w:pPr>
        <w:tabs>
          <w:tab w:val="left" w:pos="2760"/>
        </w:tabs>
        <w:spacing w:after="0"/>
        <w:rPr>
          <w:bCs/>
        </w:rPr>
      </w:pPr>
    </w:p>
    <w:p w14:paraId="34727BCD" w14:textId="2C345125" w:rsidR="001813FD" w:rsidRPr="008158F9" w:rsidRDefault="001813FD" w:rsidP="001813FD">
      <w:pPr>
        <w:tabs>
          <w:tab w:val="left" w:pos="2760"/>
        </w:tabs>
        <w:spacing w:after="0"/>
        <w:rPr>
          <w:bCs/>
          <w:i/>
          <w:iCs/>
          <w:color w:val="C00000"/>
        </w:rPr>
      </w:pPr>
      <w:r w:rsidRPr="001813FD">
        <w:rPr>
          <w:bCs/>
        </w:rPr>
        <w:t>from Adriana Lopez to everyone:  Is there a direct # we can give to our clients for that specific opt out or in</w:t>
      </w:r>
      <w:r w:rsidR="008158F9">
        <w:rPr>
          <w:bCs/>
        </w:rPr>
        <w:t xml:space="preserve">? </w:t>
      </w:r>
      <w:r w:rsidR="008158F9" w:rsidRPr="008158F9">
        <w:rPr>
          <w:bCs/>
          <w:i/>
          <w:iCs/>
          <w:color w:val="C00000"/>
        </w:rPr>
        <w:t>This change can be made locally in your office. Check with you supervisor for a contact or email Lynn for help finding your connection.</w:t>
      </w:r>
    </w:p>
    <w:p w14:paraId="6BED70A2" w14:textId="77777777" w:rsidR="008158F9" w:rsidRDefault="008158F9" w:rsidP="006E268D">
      <w:pPr>
        <w:tabs>
          <w:tab w:val="left" w:pos="2760"/>
        </w:tabs>
        <w:spacing w:after="0"/>
        <w:rPr>
          <w:b/>
        </w:rPr>
      </w:pPr>
    </w:p>
    <w:p w14:paraId="102474D2" w14:textId="6E19B97A"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1" w:name="_Hlk56587989"/>
    </w:p>
    <w:bookmarkEnd w:id="1"/>
    <w:p w14:paraId="65B52A9E" w14:textId="77777777" w:rsidR="00BB1764" w:rsidRDefault="00BB1764" w:rsidP="00BB1764">
      <w:pPr>
        <w:spacing w:after="0"/>
        <w:rPr>
          <w:color w:val="000000" w:themeColor="text1"/>
        </w:rPr>
      </w:pPr>
      <w:r>
        <w:rPr>
          <w:color w:val="000000" w:themeColor="text1"/>
        </w:rPr>
        <w:t>Abigail Taft</w:t>
      </w:r>
    </w:p>
    <w:p w14:paraId="7230D453" w14:textId="77777777" w:rsidR="00BB1764" w:rsidRDefault="00BB1764" w:rsidP="00BB1764">
      <w:pPr>
        <w:spacing w:after="0"/>
        <w:rPr>
          <w:color w:val="000000" w:themeColor="text1"/>
        </w:rPr>
      </w:pPr>
      <w:r>
        <w:rPr>
          <w:color w:val="000000" w:themeColor="text1"/>
        </w:rPr>
        <w:t>Adriana Lopez</w:t>
      </w:r>
    </w:p>
    <w:p w14:paraId="564E67B1" w14:textId="77777777" w:rsidR="00BB1764" w:rsidRDefault="00BB1764" w:rsidP="00BB1764">
      <w:pPr>
        <w:spacing w:after="0"/>
        <w:rPr>
          <w:color w:val="000000" w:themeColor="text1"/>
        </w:rPr>
      </w:pPr>
      <w:r>
        <w:rPr>
          <w:color w:val="000000" w:themeColor="text1"/>
        </w:rPr>
        <w:t>Allen, Shanika</w:t>
      </w:r>
    </w:p>
    <w:p w14:paraId="18ECCEBD" w14:textId="77777777" w:rsidR="00BB1764" w:rsidRDefault="00BB1764" w:rsidP="00BB1764">
      <w:pPr>
        <w:spacing w:after="0"/>
        <w:rPr>
          <w:color w:val="000000" w:themeColor="text1"/>
        </w:rPr>
      </w:pPr>
      <w:r>
        <w:rPr>
          <w:color w:val="000000" w:themeColor="text1"/>
        </w:rPr>
        <w:t>Aparicio, Rudy</w:t>
      </w:r>
    </w:p>
    <w:p w14:paraId="4FC3EF8B" w14:textId="77777777" w:rsidR="00BB1764" w:rsidRDefault="00BB1764" w:rsidP="00BB1764">
      <w:pPr>
        <w:spacing w:after="0"/>
        <w:rPr>
          <w:color w:val="000000" w:themeColor="text1"/>
        </w:rPr>
      </w:pPr>
      <w:r>
        <w:rPr>
          <w:color w:val="000000" w:themeColor="text1"/>
        </w:rPr>
        <w:t>Ariana Cordova</w:t>
      </w:r>
    </w:p>
    <w:p w14:paraId="2AC97AE5" w14:textId="77777777" w:rsidR="00BB1764" w:rsidRDefault="00BB1764" w:rsidP="00BB1764">
      <w:pPr>
        <w:spacing w:after="0"/>
        <w:rPr>
          <w:color w:val="000000" w:themeColor="text1"/>
        </w:rPr>
      </w:pPr>
      <w:r>
        <w:rPr>
          <w:color w:val="000000" w:themeColor="text1"/>
        </w:rPr>
        <w:t>Capella, Jenny</w:t>
      </w:r>
    </w:p>
    <w:p w14:paraId="0E7C5D0A" w14:textId="77777777" w:rsidR="00BB1764" w:rsidRDefault="00BB1764" w:rsidP="00BB1764">
      <w:pPr>
        <w:spacing w:after="0"/>
        <w:rPr>
          <w:color w:val="000000" w:themeColor="text1"/>
        </w:rPr>
      </w:pPr>
      <w:r>
        <w:rPr>
          <w:color w:val="000000" w:themeColor="text1"/>
        </w:rPr>
        <w:t>Cauthron, Carol</w:t>
      </w:r>
    </w:p>
    <w:p w14:paraId="540A04CD" w14:textId="77777777" w:rsidR="00BB1764" w:rsidRDefault="00BB1764" w:rsidP="00BB1764">
      <w:pPr>
        <w:spacing w:after="0"/>
        <w:rPr>
          <w:color w:val="000000" w:themeColor="text1"/>
        </w:rPr>
      </w:pPr>
      <w:r>
        <w:rPr>
          <w:color w:val="000000" w:themeColor="text1"/>
        </w:rPr>
        <w:t>Christina Shaffer</w:t>
      </w:r>
    </w:p>
    <w:p w14:paraId="1F6700D8" w14:textId="77777777" w:rsidR="00BB1764" w:rsidRDefault="00BB1764" w:rsidP="00BB1764">
      <w:pPr>
        <w:spacing w:after="0"/>
        <w:rPr>
          <w:color w:val="000000" w:themeColor="text1"/>
        </w:rPr>
      </w:pPr>
      <w:r>
        <w:rPr>
          <w:color w:val="000000" w:themeColor="text1"/>
        </w:rPr>
        <w:t>Cori Ching</w:t>
      </w:r>
    </w:p>
    <w:p w14:paraId="4D98262D" w14:textId="77777777" w:rsidR="00BB1764" w:rsidRDefault="00BB1764" w:rsidP="00BB1764">
      <w:pPr>
        <w:spacing w:after="0"/>
        <w:rPr>
          <w:color w:val="000000" w:themeColor="text1"/>
        </w:rPr>
      </w:pPr>
      <w:r>
        <w:rPr>
          <w:color w:val="000000" w:themeColor="text1"/>
        </w:rPr>
        <w:t>Diane Luoma</w:t>
      </w:r>
    </w:p>
    <w:p w14:paraId="60FD5FAB" w14:textId="77777777" w:rsidR="00BB1764" w:rsidRDefault="00BB1764" w:rsidP="00BB1764">
      <w:pPr>
        <w:spacing w:after="0"/>
        <w:rPr>
          <w:color w:val="000000" w:themeColor="text1"/>
        </w:rPr>
      </w:pPr>
      <w:r>
        <w:rPr>
          <w:color w:val="000000" w:themeColor="text1"/>
        </w:rPr>
        <w:t>Dominguez, Maribel</w:t>
      </w:r>
    </w:p>
    <w:p w14:paraId="734BFC5C" w14:textId="77777777" w:rsidR="00BB1764" w:rsidRDefault="00BB1764" w:rsidP="00BB1764">
      <w:pPr>
        <w:spacing w:after="0"/>
        <w:rPr>
          <w:color w:val="000000" w:themeColor="text1"/>
        </w:rPr>
      </w:pPr>
      <w:r>
        <w:rPr>
          <w:color w:val="000000" w:themeColor="text1"/>
        </w:rPr>
        <w:t>Donna Hendrickson</w:t>
      </w:r>
    </w:p>
    <w:p w14:paraId="451D3C13" w14:textId="77777777" w:rsidR="00BB1764" w:rsidRDefault="00BB1764" w:rsidP="00BB1764">
      <w:pPr>
        <w:spacing w:after="0"/>
        <w:rPr>
          <w:color w:val="000000" w:themeColor="text1"/>
        </w:rPr>
      </w:pPr>
      <w:r>
        <w:rPr>
          <w:color w:val="000000" w:themeColor="text1"/>
        </w:rPr>
        <w:t>Dorothy Rocha</w:t>
      </w:r>
    </w:p>
    <w:p w14:paraId="0D96790D" w14:textId="77777777" w:rsidR="00BB1764" w:rsidRDefault="00BB1764" w:rsidP="00BB1764">
      <w:pPr>
        <w:spacing w:after="0"/>
        <w:rPr>
          <w:color w:val="000000" w:themeColor="text1"/>
        </w:rPr>
      </w:pPr>
      <w:r>
        <w:rPr>
          <w:color w:val="000000" w:themeColor="text1"/>
        </w:rPr>
        <w:t>Douglas Evans</w:t>
      </w:r>
    </w:p>
    <w:p w14:paraId="60AE9A86" w14:textId="77777777" w:rsidR="00BB1764" w:rsidRDefault="00BB1764" w:rsidP="00BB1764">
      <w:pPr>
        <w:spacing w:after="0"/>
        <w:rPr>
          <w:color w:val="000000" w:themeColor="text1"/>
        </w:rPr>
      </w:pPr>
      <w:r>
        <w:rPr>
          <w:color w:val="000000" w:themeColor="text1"/>
        </w:rPr>
        <w:t>Dryden, Jack</w:t>
      </w:r>
    </w:p>
    <w:p w14:paraId="256AE65D" w14:textId="77777777" w:rsidR="00BB1764" w:rsidRDefault="00BB1764" w:rsidP="00BB1764">
      <w:pPr>
        <w:spacing w:after="0"/>
        <w:rPr>
          <w:color w:val="000000" w:themeColor="text1"/>
        </w:rPr>
      </w:pPr>
      <w:r>
        <w:rPr>
          <w:color w:val="000000" w:themeColor="text1"/>
        </w:rPr>
        <w:t>Heather Shin</w:t>
      </w:r>
    </w:p>
    <w:p w14:paraId="111455E7" w14:textId="77777777" w:rsidR="00BB1764" w:rsidRDefault="00BB1764" w:rsidP="00BB1764">
      <w:pPr>
        <w:spacing w:after="0"/>
        <w:rPr>
          <w:color w:val="000000" w:themeColor="text1"/>
        </w:rPr>
      </w:pPr>
      <w:r>
        <w:rPr>
          <w:color w:val="000000" w:themeColor="text1"/>
        </w:rPr>
        <w:t>Heidi Lamers</w:t>
      </w:r>
    </w:p>
    <w:p w14:paraId="543049C5" w14:textId="77777777" w:rsidR="00BB1764" w:rsidRDefault="00BB1764" w:rsidP="00BB1764">
      <w:pPr>
        <w:spacing w:after="0"/>
        <w:rPr>
          <w:color w:val="000000" w:themeColor="text1"/>
        </w:rPr>
      </w:pPr>
      <w:r>
        <w:rPr>
          <w:color w:val="000000" w:themeColor="text1"/>
        </w:rPr>
        <w:t>Heidi Schauble</w:t>
      </w:r>
    </w:p>
    <w:p w14:paraId="5B8AF603" w14:textId="77777777" w:rsidR="00BB1764" w:rsidRDefault="00BB1764" w:rsidP="00BB1764">
      <w:pPr>
        <w:spacing w:after="0"/>
        <w:rPr>
          <w:color w:val="000000" w:themeColor="text1"/>
        </w:rPr>
      </w:pPr>
      <w:r>
        <w:rPr>
          <w:color w:val="000000" w:themeColor="text1"/>
        </w:rPr>
        <w:t>J Revelle</w:t>
      </w:r>
    </w:p>
    <w:p w14:paraId="7D0CBD0F" w14:textId="77777777" w:rsidR="00BB1764" w:rsidRDefault="00BB1764" w:rsidP="00BB1764">
      <w:pPr>
        <w:spacing w:after="0"/>
        <w:rPr>
          <w:color w:val="000000" w:themeColor="text1"/>
        </w:rPr>
      </w:pPr>
      <w:r>
        <w:rPr>
          <w:color w:val="000000" w:themeColor="text1"/>
        </w:rPr>
        <w:t>Jackie Wetchler</w:t>
      </w:r>
    </w:p>
    <w:p w14:paraId="6CBDDED5" w14:textId="77777777" w:rsidR="00BB1764" w:rsidRDefault="00BB1764" w:rsidP="00BB1764">
      <w:pPr>
        <w:spacing w:after="0"/>
        <w:rPr>
          <w:color w:val="000000" w:themeColor="text1"/>
        </w:rPr>
      </w:pPr>
      <w:r>
        <w:rPr>
          <w:color w:val="000000" w:themeColor="text1"/>
        </w:rPr>
        <w:t>Jessie Cardwell</w:t>
      </w:r>
    </w:p>
    <w:p w14:paraId="4B1A9148" w14:textId="77777777" w:rsidR="00BB1764" w:rsidRDefault="00BB1764" w:rsidP="00BB1764">
      <w:pPr>
        <w:spacing w:after="0"/>
        <w:rPr>
          <w:color w:val="000000" w:themeColor="text1"/>
        </w:rPr>
      </w:pPr>
      <w:r>
        <w:rPr>
          <w:color w:val="000000" w:themeColor="text1"/>
        </w:rPr>
        <w:t>Jordan, Irene</w:t>
      </w:r>
    </w:p>
    <w:p w14:paraId="55445364" w14:textId="77777777" w:rsidR="00BB1764" w:rsidRDefault="00BB1764" w:rsidP="00BB1764">
      <w:pPr>
        <w:spacing w:after="0"/>
        <w:rPr>
          <w:color w:val="000000" w:themeColor="text1"/>
        </w:rPr>
      </w:pPr>
      <w:r>
        <w:rPr>
          <w:color w:val="000000" w:themeColor="text1"/>
        </w:rPr>
        <w:t>King, Kendall</w:t>
      </w:r>
    </w:p>
    <w:p w14:paraId="3940142C" w14:textId="77777777" w:rsidR="00BB1764" w:rsidRDefault="00BB1764" w:rsidP="00BB1764">
      <w:pPr>
        <w:spacing w:after="0"/>
        <w:rPr>
          <w:color w:val="000000" w:themeColor="text1"/>
        </w:rPr>
      </w:pPr>
      <w:r>
        <w:rPr>
          <w:color w:val="000000" w:themeColor="text1"/>
        </w:rPr>
        <w:t>Kylie Bartlett</w:t>
      </w:r>
    </w:p>
    <w:p w14:paraId="6A52A496" w14:textId="77777777" w:rsidR="00BB1764" w:rsidRDefault="00BB1764" w:rsidP="00BB1764">
      <w:pPr>
        <w:spacing w:after="0"/>
        <w:rPr>
          <w:color w:val="000000" w:themeColor="text1"/>
        </w:rPr>
      </w:pPr>
      <w:r>
        <w:rPr>
          <w:color w:val="000000" w:themeColor="text1"/>
        </w:rPr>
        <w:t>Lisa Pietkauskis</w:t>
      </w:r>
    </w:p>
    <w:p w14:paraId="7F810F11" w14:textId="77777777" w:rsidR="00BB1764" w:rsidRDefault="00BB1764" w:rsidP="00BB1764">
      <w:pPr>
        <w:spacing w:after="0"/>
        <w:rPr>
          <w:color w:val="000000" w:themeColor="text1"/>
        </w:rPr>
      </w:pPr>
      <w:r>
        <w:rPr>
          <w:color w:val="000000" w:themeColor="text1"/>
        </w:rPr>
        <w:t>Luci Bench</w:t>
      </w:r>
    </w:p>
    <w:p w14:paraId="152BF3B1" w14:textId="77777777" w:rsidR="00BB1764" w:rsidRDefault="00BB1764" w:rsidP="00BB1764">
      <w:pPr>
        <w:spacing w:after="0"/>
        <w:rPr>
          <w:color w:val="000000" w:themeColor="text1"/>
        </w:rPr>
      </w:pPr>
      <w:r>
        <w:rPr>
          <w:color w:val="000000" w:themeColor="text1"/>
        </w:rPr>
        <w:t>Mack, Donna</w:t>
      </w:r>
    </w:p>
    <w:p w14:paraId="52309229" w14:textId="77777777" w:rsidR="00BB1764" w:rsidRDefault="00BB1764" w:rsidP="00BB1764">
      <w:pPr>
        <w:spacing w:after="0"/>
        <w:rPr>
          <w:color w:val="000000" w:themeColor="text1"/>
        </w:rPr>
      </w:pPr>
      <w:r>
        <w:rPr>
          <w:color w:val="000000" w:themeColor="text1"/>
        </w:rPr>
        <w:t>Mariya Kazantseva</w:t>
      </w:r>
    </w:p>
    <w:p w14:paraId="2C6405F6" w14:textId="77777777" w:rsidR="00BB1764" w:rsidRDefault="00BB1764" w:rsidP="00BB1764">
      <w:pPr>
        <w:spacing w:after="0"/>
        <w:rPr>
          <w:color w:val="000000" w:themeColor="text1"/>
        </w:rPr>
      </w:pPr>
      <w:r>
        <w:rPr>
          <w:color w:val="000000" w:themeColor="text1"/>
        </w:rPr>
        <w:t>Matranga, Carol</w:t>
      </w:r>
    </w:p>
    <w:p w14:paraId="14458AC2" w14:textId="77777777" w:rsidR="00BB1764" w:rsidRDefault="00BB1764" w:rsidP="00BB1764">
      <w:pPr>
        <w:spacing w:after="0"/>
        <w:rPr>
          <w:color w:val="000000" w:themeColor="text1"/>
        </w:rPr>
      </w:pPr>
      <w:r>
        <w:rPr>
          <w:color w:val="000000" w:themeColor="text1"/>
        </w:rPr>
        <w:t>Michael Rivers</w:t>
      </w:r>
    </w:p>
    <w:p w14:paraId="4AE8E687" w14:textId="77777777" w:rsidR="00BB1764" w:rsidRDefault="00BB1764" w:rsidP="00BB1764">
      <w:pPr>
        <w:spacing w:after="0"/>
        <w:rPr>
          <w:color w:val="000000" w:themeColor="text1"/>
        </w:rPr>
      </w:pPr>
      <w:r>
        <w:rPr>
          <w:color w:val="000000" w:themeColor="text1"/>
        </w:rPr>
        <w:t>Ostergren, Pochi</w:t>
      </w:r>
    </w:p>
    <w:p w14:paraId="63E0AFC5" w14:textId="77777777" w:rsidR="00BB1764" w:rsidRDefault="00BB1764" w:rsidP="00BB1764">
      <w:pPr>
        <w:spacing w:after="0"/>
        <w:rPr>
          <w:color w:val="000000" w:themeColor="text1"/>
        </w:rPr>
      </w:pPr>
      <w:r>
        <w:rPr>
          <w:color w:val="000000" w:themeColor="text1"/>
        </w:rPr>
        <w:t>Peiris, Malmi</w:t>
      </w:r>
    </w:p>
    <w:p w14:paraId="3DC3F388" w14:textId="77777777" w:rsidR="00BB1764" w:rsidRDefault="00BB1764" w:rsidP="00BB1764">
      <w:pPr>
        <w:spacing w:after="0"/>
        <w:rPr>
          <w:color w:val="000000" w:themeColor="text1"/>
        </w:rPr>
      </w:pPr>
      <w:r>
        <w:rPr>
          <w:color w:val="000000" w:themeColor="text1"/>
        </w:rPr>
        <w:t>Selam Tekle</w:t>
      </w:r>
    </w:p>
    <w:p w14:paraId="21626F84" w14:textId="77777777" w:rsidR="00BB1764" w:rsidRDefault="00BB1764" w:rsidP="00BB1764">
      <w:pPr>
        <w:spacing w:after="0"/>
        <w:rPr>
          <w:color w:val="000000" w:themeColor="text1"/>
        </w:rPr>
      </w:pPr>
      <w:r>
        <w:rPr>
          <w:color w:val="000000" w:themeColor="text1"/>
        </w:rPr>
        <w:t>Soto, Raul</w:t>
      </w:r>
    </w:p>
    <w:p w14:paraId="585CDCE4" w14:textId="77777777" w:rsidR="00BB1764" w:rsidRDefault="00BB1764" w:rsidP="00BB1764">
      <w:pPr>
        <w:spacing w:after="0"/>
        <w:rPr>
          <w:color w:val="000000" w:themeColor="text1"/>
        </w:rPr>
      </w:pPr>
      <w:r>
        <w:rPr>
          <w:color w:val="000000" w:themeColor="text1"/>
        </w:rPr>
        <w:t>Sparks, Teresa</w:t>
      </w:r>
    </w:p>
    <w:p w14:paraId="7D92EAAB" w14:textId="77777777" w:rsidR="00BB1764" w:rsidRDefault="00BB1764" w:rsidP="00BB1764">
      <w:pPr>
        <w:spacing w:after="0"/>
        <w:rPr>
          <w:color w:val="000000" w:themeColor="text1"/>
        </w:rPr>
      </w:pPr>
      <w:r>
        <w:rPr>
          <w:color w:val="000000" w:themeColor="text1"/>
        </w:rPr>
        <w:t>Standley, Amanda</w:t>
      </w:r>
    </w:p>
    <w:p w14:paraId="0841AC25" w14:textId="77777777" w:rsidR="00BB1764" w:rsidRDefault="00BB1764" w:rsidP="00BB1764">
      <w:pPr>
        <w:spacing w:after="0"/>
        <w:rPr>
          <w:color w:val="000000" w:themeColor="text1"/>
        </w:rPr>
      </w:pPr>
      <w:r>
        <w:rPr>
          <w:color w:val="000000" w:themeColor="text1"/>
        </w:rPr>
        <w:t>Tamara</w:t>
      </w:r>
    </w:p>
    <w:p w14:paraId="5A75AB08" w14:textId="77777777" w:rsidR="00BB1764" w:rsidRDefault="00BB1764" w:rsidP="00BB1764">
      <w:pPr>
        <w:spacing w:after="0"/>
        <w:rPr>
          <w:color w:val="000000" w:themeColor="text1"/>
        </w:rPr>
      </w:pPr>
      <w:r>
        <w:rPr>
          <w:color w:val="000000" w:themeColor="text1"/>
        </w:rPr>
        <w:t>T Aphkas</w:t>
      </w:r>
    </w:p>
    <w:p w14:paraId="6F2F3675" w14:textId="77777777" w:rsidR="00BB1764" w:rsidRDefault="00BB1764" w:rsidP="00BB1764">
      <w:pPr>
        <w:spacing w:after="0"/>
        <w:rPr>
          <w:color w:val="000000" w:themeColor="text1"/>
        </w:rPr>
      </w:pPr>
      <w:r>
        <w:rPr>
          <w:color w:val="000000" w:themeColor="text1"/>
        </w:rPr>
        <w:t>Teresa Anda</w:t>
      </w:r>
    </w:p>
    <w:p w14:paraId="01491D92" w14:textId="77777777" w:rsidR="00BB1764" w:rsidRDefault="00BB1764" w:rsidP="00BB1764">
      <w:pPr>
        <w:spacing w:after="0"/>
        <w:rPr>
          <w:color w:val="000000" w:themeColor="text1"/>
        </w:rPr>
      </w:pPr>
      <w:r>
        <w:rPr>
          <w:color w:val="000000" w:themeColor="text1"/>
        </w:rPr>
        <w:t>Tim Woodward</w:t>
      </w:r>
    </w:p>
    <w:p w14:paraId="6D000F47" w14:textId="77777777" w:rsidR="00BB1764" w:rsidRDefault="00BB1764" w:rsidP="00BB1764">
      <w:pPr>
        <w:spacing w:after="0"/>
        <w:rPr>
          <w:color w:val="000000" w:themeColor="text1"/>
        </w:rPr>
      </w:pPr>
      <w:r>
        <w:rPr>
          <w:color w:val="000000" w:themeColor="text1"/>
        </w:rPr>
        <w:t>Tina Newcomer</w:t>
      </w:r>
    </w:p>
    <w:p w14:paraId="3656FB33" w14:textId="77777777" w:rsidR="00BB1764" w:rsidRDefault="00BB1764" w:rsidP="00BB1764">
      <w:pPr>
        <w:spacing w:after="0"/>
        <w:rPr>
          <w:color w:val="000000" w:themeColor="text1"/>
        </w:rPr>
      </w:pPr>
      <w:r>
        <w:rPr>
          <w:color w:val="000000" w:themeColor="text1"/>
        </w:rPr>
        <w:t>Toni Burow</w:t>
      </w:r>
    </w:p>
    <w:p w14:paraId="41EFA1D4" w14:textId="77777777" w:rsidR="00BB1764" w:rsidRDefault="00BB1764" w:rsidP="00BB1764">
      <w:pPr>
        <w:spacing w:after="0"/>
        <w:rPr>
          <w:color w:val="000000" w:themeColor="text1"/>
        </w:rPr>
      </w:pPr>
      <w:r>
        <w:rPr>
          <w:color w:val="000000" w:themeColor="text1"/>
        </w:rPr>
        <w:t>Tracy Ferrell</w:t>
      </w:r>
    </w:p>
    <w:p w14:paraId="212014BD" w14:textId="77777777" w:rsidR="00BB1764" w:rsidRPr="009E1D1F" w:rsidRDefault="00BB1764" w:rsidP="00BB1764">
      <w:pPr>
        <w:spacing w:after="0"/>
        <w:rPr>
          <w:color w:val="000000" w:themeColor="text1"/>
        </w:rPr>
      </w:pPr>
      <w:r>
        <w:rPr>
          <w:color w:val="000000" w:themeColor="text1"/>
        </w:rPr>
        <w:t>Vey Damneun</w:t>
      </w:r>
    </w:p>
    <w:p w14:paraId="155779A6" w14:textId="668BA1E1" w:rsidR="00BF6DB6" w:rsidRPr="00BF6DB6" w:rsidRDefault="00BF6DB6" w:rsidP="006732C1">
      <w:pPr>
        <w:spacing w:after="0"/>
      </w:pPr>
    </w:p>
    <w:sectPr w:rsidR="00BF6DB6" w:rsidRPr="00BF6DB6"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2"/>
  </w:num>
  <w:num w:numId="2">
    <w:abstractNumId w:val="7"/>
  </w:num>
  <w:num w:numId="3">
    <w:abstractNumId w:val="0"/>
  </w:num>
  <w:num w:numId="4">
    <w:abstractNumId w:val="11"/>
  </w:num>
  <w:num w:numId="5">
    <w:abstractNumId w:val="13"/>
  </w:num>
  <w:num w:numId="6">
    <w:abstractNumId w:val="10"/>
  </w:num>
  <w:num w:numId="7">
    <w:abstractNumId w:val="3"/>
  </w:num>
  <w:num w:numId="8">
    <w:abstractNumId w:val="16"/>
  </w:num>
  <w:num w:numId="9">
    <w:abstractNumId w:val="5"/>
  </w:num>
  <w:num w:numId="10">
    <w:abstractNumId w:val="6"/>
  </w:num>
  <w:num w:numId="11">
    <w:abstractNumId w:val="4"/>
  </w:num>
  <w:num w:numId="12">
    <w:abstractNumId w:val="1"/>
  </w:num>
  <w:num w:numId="13">
    <w:abstractNumId w:val="15"/>
  </w:num>
  <w:num w:numId="14">
    <w:abstractNumId w:val="14"/>
  </w:num>
  <w:num w:numId="15">
    <w:abstractNumId w:val="9"/>
  </w:num>
  <w:num w:numId="16">
    <w:abstractNumId w:val="8"/>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5A73"/>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7A02"/>
    <w:rsid w:val="000B0312"/>
    <w:rsid w:val="000B0D77"/>
    <w:rsid w:val="000B6FB4"/>
    <w:rsid w:val="000C14CF"/>
    <w:rsid w:val="000C34BE"/>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2D21"/>
    <w:rsid w:val="0016748E"/>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86B22"/>
    <w:rsid w:val="00287271"/>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16BD"/>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A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1999"/>
    <w:rsid w:val="0047212E"/>
    <w:rsid w:val="00475FED"/>
    <w:rsid w:val="00477B03"/>
    <w:rsid w:val="00477DA2"/>
    <w:rsid w:val="004801D2"/>
    <w:rsid w:val="00480A83"/>
    <w:rsid w:val="004811A1"/>
    <w:rsid w:val="00482B95"/>
    <w:rsid w:val="004841EA"/>
    <w:rsid w:val="004845A5"/>
    <w:rsid w:val="00485AD6"/>
    <w:rsid w:val="00486552"/>
    <w:rsid w:val="00486741"/>
    <w:rsid w:val="00486E7B"/>
    <w:rsid w:val="00486E8C"/>
    <w:rsid w:val="00490AF7"/>
    <w:rsid w:val="00491184"/>
    <w:rsid w:val="004937B4"/>
    <w:rsid w:val="00494A8A"/>
    <w:rsid w:val="00494AAC"/>
    <w:rsid w:val="004A0D31"/>
    <w:rsid w:val="004A0F8F"/>
    <w:rsid w:val="004A3100"/>
    <w:rsid w:val="004A3EBC"/>
    <w:rsid w:val="004B2292"/>
    <w:rsid w:val="004B3274"/>
    <w:rsid w:val="004B3717"/>
    <w:rsid w:val="004B3B51"/>
    <w:rsid w:val="004B4B4B"/>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422B"/>
    <w:rsid w:val="005C5E6F"/>
    <w:rsid w:val="005C6A2F"/>
    <w:rsid w:val="005C6AC5"/>
    <w:rsid w:val="005C77B8"/>
    <w:rsid w:val="005D44E4"/>
    <w:rsid w:val="005D6E6A"/>
    <w:rsid w:val="005E0A25"/>
    <w:rsid w:val="005E3C81"/>
    <w:rsid w:val="005E44DE"/>
    <w:rsid w:val="005E6D4D"/>
    <w:rsid w:val="005F080B"/>
    <w:rsid w:val="005F0D29"/>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1ED8"/>
    <w:rsid w:val="006421BD"/>
    <w:rsid w:val="00646328"/>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933F7"/>
    <w:rsid w:val="00695723"/>
    <w:rsid w:val="006960C5"/>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D4519"/>
    <w:rsid w:val="006E14EC"/>
    <w:rsid w:val="006E1B7D"/>
    <w:rsid w:val="006E268D"/>
    <w:rsid w:val="006E2D4D"/>
    <w:rsid w:val="006E375D"/>
    <w:rsid w:val="006E4059"/>
    <w:rsid w:val="006E7B1F"/>
    <w:rsid w:val="006E7B66"/>
    <w:rsid w:val="006F02D7"/>
    <w:rsid w:val="006F09B5"/>
    <w:rsid w:val="006F13A0"/>
    <w:rsid w:val="006F1EB0"/>
    <w:rsid w:val="006F2B16"/>
    <w:rsid w:val="006F3903"/>
    <w:rsid w:val="006F491F"/>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B5B4F"/>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8F9"/>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A1504"/>
    <w:rsid w:val="009A21EE"/>
    <w:rsid w:val="009A28C4"/>
    <w:rsid w:val="009A2C1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5D5F"/>
    <w:rsid w:val="009F68AD"/>
    <w:rsid w:val="009F6DA8"/>
    <w:rsid w:val="009F70E9"/>
    <w:rsid w:val="009F75B8"/>
    <w:rsid w:val="00A00FAF"/>
    <w:rsid w:val="00A01AF6"/>
    <w:rsid w:val="00A0247E"/>
    <w:rsid w:val="00A03443"/>
    <w:rsid w:val="00A03759"/>
    <w:rsid w:val="00A042FB"/>
    <w:rsid w:val="00A04F40"/>
    <w:rsid w:val="00A05BDB"/>
    <w:rsid w:val="00A12303"/>
    <w:rsid w:val="00A12441"/>
    <w:rsid w:val="00A17F06"/>
    <w:rsid w:val="00A2085D"/>
    <w:rsid w:val="00A213B4"/>
    <w:rsid w:val="00A23328"/>
    <w:rsid w:val="00A233A3"/>
    <w:rsid w:val="00A25818"/>
    <w:rsid w:val="00A26D5B"/>
    <w:rsid w:val="00A27571"/>
    <w:rsid w:val="00A34CE7"/>
    <w:rsid w:val="00A3585E"/>
    <w:rsid w:val="00A36C0F"/>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1766"/>
    <w:rsid w:val="00B128C4"/>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7282F"/>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1D03"/>
    <w:rsid w:val="00E12D0A"/>
    <w:rsid w:val="00E13F23"/>
    <w:rsid w:val="00E14A45"/>
    <w:rsid w:val="00E1542D"/>
    <w:rsid w:val="00E20054"/>
    <w:rsid w:val="00E23A77"/>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0720"/>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69B7"/>
    <w:rsid w:val="00F27304"/>
    <w:rsid w:val="00F273E0"/>
    <w:rsid w:val="00F279CC"/>
    <w:rsid w:val="00F27B02"/>
    <w:rsid w:val="00F32E9F"/>
    <w:rsid w:val="00F33197"/>
    <w:rsid w:val="00F35144"/>
    <w:rsid w:val="00F4251E"/>
    <w:rsid w:val="00F443EE"/>
    <w:rsid w:val="00F458D1"/>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54A"/>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oremultisites.blob.core.windows.net/media/WPC/tech/staff-resources/Finding_a_participant_in_%20ETO.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affgroupwest.com" TargetMode="External"/><Relationship Id="rId17" Type="http://schemas.openxmlformats.org/officeDocument/2006/relationships/hyperlink" Target="https://esd.wa.gov/unemployment/job-search-requirements"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teleworking"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hyperlink" Target="https://wpc.wa.gov/tech/ETO-refresher-trainin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Opt%20Out%20Guidance-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17</cp:revision>
  <dcterms:created xsi:type="dcterms:W3CDTF">2021-07-27T20:46:00Z</dcterms:created>
  <dcterms:modified xsi:type="dcterms:W3CDTF">2021-07-28T19:14:00Z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