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40A9593E"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CF478D">
        <w:rPr>
          <w:rFonts w:eastAsia="Times New Roman"/>
          <w:b/>
        </w:rPr>
        <w:t>Minutes</w:t>
      </w:r>
      <w:r w:rsidR="008240C3">
        <w:rPr>
          <w:rFonts w:eastAsia="Times New Roman"/>
          <w:b/>
        </w:rPr>
        <w:t xml:space="preserve"> </w:t>
      </w:r>
      <w:r w:rsidR="00F8610B">
        <w:rPr>
          <w:rFonts w:eastAsia="Times New Roman"/>
          <w:b/>
        </w:rPr>
        <w:t>05/</w:t>
      </w:r>
      <w:r w:rsidR="008240C3">
        <w:rPr>
          <w:rFonts w:eastAsia="Times New Roman"/>
          <w:b/>
        </w:rPr>
        <w:t>1</w:t>
      </w:r>
      <w:r w:rsidR="009A5DE9">
        <w:rPr>
          <w:rFonts w:eastAsia="Times New Roman"/>
          <w:b/>
        </w:rPr>
        <w:t>8</w:t>
      </w:r>
      <w:r w:rsidR="00F8610B">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3F6BA8B1" w:rsidR="00244F29" w:rsidRPr="00AA770D" w:rsidRDefault="00B20D11" w:rsidP="00AA770D">
      <w:pPr>
        <w:pStyle w:val="ListParagraph"/>
        <w:numPr>
          <w:ilvl w:val="0"/>
          <w:numId w:val="1"/>
        </w:numPr>
        <w:spacing w:after="0"/>
      </w:pPr>
      <w:r>
        <w:t xml:space="preserve">ETO maintenance – </w:t>
      </w:r>
      <w:r w:rsidR="00AA770D">
        <w:t>ETO maintenance will take place Saturday 5/21 6PM PT to Sunday 5/22 at 3AM PT. The environment will be intermittently unavailable during this timeframe.</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7613C4B2" w:rsidR="008B366C" w:rsidRDefault="006F491F" w:rsidP="00F3418C">
      <w:pPr>
        <w:pStyle w:val="ListParagraph"/>
        <w:numPr>
          <w:ilvl w:val="0"/>
          <w:numId w:val="1"/>
        </w:numPr>
        <w:spacing w:after="0"/>
      </w:pPr>
      <w:r>
        <w:t>Tickets into production –</w:t>
      </w:r>
      <w:r w:rsidR="0046671E">
        <w:t xml:space="preserve"> </w:t>
      </w:r>
      <w:r w:rsidR="00AA770D">
        <w:t>nothing this week</w:t>
      </w:r>
    </w:p>
    <w:p w14:paraId="16CF9E0A" w14:textId="3A850AE4"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5AFA19F3" w14:textId="567C7F7E" w:rsidR="00A301AA" w:rsidRDefault="00DC60F5" w:rsidP="00DE6BA5">
      <w:pPr>
        <w:pStyle w:val="ListParagraph"/>
        <w:numPr>
          <w:ilvl w:val="0"/>
          <w:numId w:val="5"/>
        </w:numPr>
      </w:pPr>
      <w:r>
        <w:t>What’s new on WPC</w:t>
      </w:r>
      <w:r w:rsidR="00A03443">
        <w:t xml:space="preserve"> – </w:t>
      </w:r>
      <w:r w:rsidR="00212748">
        <w:t xml:space="preserve"> </w:t>
      </w:r>
      <w:r w:rsidR="0048096C">
        <w:t>nothing this week</w:t>
      </w:r>
    </w:p>
    <w:p w14:paraId="21EAA0AC" w14:textId="6F6DCDC2" w:rsidR="0067470B" w:rsidRDefault="009D0846" w:rsidP="00A301AA">
      <w:pPr>
        <w:pStyle w:val="ListParagraph"/>
        <w:numPr>
          <w:ilvl w:val="0"/>
          <w:numId w:val="5"/>
        </w:numPr>
      </w:pPr>
      <w:r>
        <w:t>Training issues/o</w:t>
      </w:r>
      <w:r w:rsidR="00D70C80">
        <w:t>pen discussion</w:t>
      </w:r>
      <w:r w:rsidR="0048096C">
        <w:t>/ticket updates</w:t>
      </w:r>
    </w:p>
    <w:p w14:paraId="627B774C" w14:textId="11716D3E" w:rsidR="00AA770D" w:rsidRDefault="00AA770D" w:rsidP="00AA770D">
      <w:pPr>
        <w:pStyle w:val="ListParagraph"/>
        <w:numPr>
          <w:ilvl w:val="1"/>
          <w:numId w:val="5"/>
        </w:numPr>
      </w:pPr>
      <w:r>
        <w:t>T12 cancelled next week 5/25/22</w:t>
      </w:r>
    </w:p>
    <w:p w14:paraId="2EA16EBC" w14:textId="3114EB95" w:rsidR="00345316" w:rsidRDefault="00ED581B" w:rsidP="00940AC0">
      <w:pPr>
        <w:pStyle w:val="ListParagraph"/>
        <w:numPr>
          <w:ilvl w:val="1"/>
          <w:numId w:val="5"/>
        </w:numPr>
      </w:pPr>
      <w:r>
        <w:t>Recently the ETO participant dashboard wasn’t working as expected causing a work stoppage by some staff. Did you know there are other ways to besides from the participant dashboard to take TPs?</w:t>
      </w:r>
    </w:p>
    <w:p w14:paraId="0A9E8062" w14:textId="524EAFC8" w:rsidR="00ED581B" w:rsidRDefault="00BA17F2" w:rsidP="00ED581B">
      <w:pPr>
        <w:pStyle w:val="ListParagraph"/>
        <w:numPr>
          <w:ilvl w:val="2"/>
          <w:numId w:val="5"/>
        </w:numPr>
      </w:pPr>
      <w:r>
        <w:t xml:space="preserve">Start by clicking opening the side navigation menu #1 (AKA pancake or hamburger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FBA6965" w14:textId="073A90E0" w:rsidR="00BA17F2" w:rsidRDefault="00BA17F2" w:rsidP="00ED581B">
      <w:pPr>
        <w:pStyle w:val="ListParagraph"/>
        <w:numPr>
          <w:ilvl w:val="2"/>
          <w:numId w:val="5"/>
        </w:numPr>
      </w:pPr>
      <w:r>
        <w:t>Select the TP, TP subject type, a participant from the list and enter the service provided</w:t>
      </w:r>
    </w:p>
    <w:p w14:paraId="36655B45" w14:textId="40E63890" w:rsidR="00BA17F2" w:rsidRDefault="00BA17F2" w:rsidP="00BA17F2">
      <w:pPr>
        <w:pStyle w:val="ListParagraph"/>
        <w:ind w:left="2160"/>
      </w:pPr>
      <w:r w:rsidRPr="00BA17F2">
        <w:rPr>
          <w:noProof/>
        </w:rPr>
        <w:drawing>
          <wp:inline distT="0" distB="0" distL="0" distR="0" wp14:anchorId="5B14C94C" wp14:editId="35CE061C">
            <wp:extent cx="3484900" cy="384242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12766" cy="3873150"/>
                    </a:xfrm>
                    <a:prstGeom prst="rect">
                      <a:avLst/>
                    </a:prstGeom>
                  </pic:spPr>
                </pic:pic>
              </a:graphicData>
            </a:graphic>
          </wp:inline>
        </w:drawing>
      </w:r>
    </w:p>
    <w:p w14:paraId="606B8321" w14:textId="062800B5" w:rsidR="00D75B9B" w:rsidRDefault="00D75B9B" w:rsidP="00940AC0">
      <w:pPr>
        <w:pStyle w:val="ListParagraph"/>
        <w:numPr>
          <w:ilvl w:val="1"/>
          <w:numId w:val="5"/>
        </w:numPr>
      </w:pPr>
      <w:r w:rsidRPr="00D75B9B">
        <w:lastRenderedPageBreak/>
        <w:t xml:space="preserve">WIT replacement suggestions—use the link at the bottom of this page on the WPC site: </w:t>
      </w:r>
      <w:hyperlink r:id="rId11" w:history="1">
        <w:r w:rsidRPr="00F0197E">
          <w:rPr>
            <w:rStyle w:val="Hyperlink"/>
          </w:rPr>
          <w:t>https://wpc.wa.gov/wswa/wit-replacement-project</w:t>
        </w:r>
      </w:hyperlink>
      <w:r>
        <w:t xml:space="preserve"> </w:t>
      </w:r>
    </w:p>
    <w:p w14:paraId="029B2C1F" w14:textId="17927BB5" w:rsidR="00A62341" w:rsidRDefault="00A62341" w:rsidP="00D75B9B">
      <w:pPr>
        <w:pStyle w:val="ListParagraph"/>
        <w:numPr>
          <w:ilvl w:val="1"/>
          <w:numId w:val="5"/>
        </w:numPr>
      </w:pPr>
      <w:r>
        <w:t>WA</w:t>
      </w:r>
      <w:r w:rsidR="005227EB">
        <w:t>-</w:t>
      </w:r>
      <w:r>
        <w:t xml:space="preserve">4488 Interface 19 was not updating TAA obligations. The files are </w:t>
      </w:r>
      <w:r w:rsidR="00692C24">
        <w:t>updated,</w:t>
      </w:r>
      <w:r>
        <w:t xml:space="preserve"> and we are looking at the root cause and updating the PIRL</w:t>
      </w:r>
      <w:r w:rsidR="00AA770D">
        <w:t>. Issue under review.</w:t>
      </w:r>
    </w:p>
    <w:p w14:paraId="6D8EE47E" w14:textId="3A9A7462" w:rsidR="00A62341" w:rsidRDefault="00A62341" w:rsidP="00940AC0">
      <w:pPr>
        <w:pStyle w:val="ListParagraph"/>
        <w:numPr>
          <w:ilvl w:val="1"/>
          <w:numId w:val="5"/>
        </w:numPr>
      </w:pPr>
      <w:r>
        <w:t>WA-4338 RESEA Required Elements TP – There is a reported dashboard issue caused by the type of file uploaded to the parent TP. The .msg file type caused the issue.</w:t>
      </w:r>
      <w:r w:rsidR="00AA770D">
        <w:t xml:space="preserve"> Issue under review.</w:t>
      </w:r>
    </w:p>
    <w:p w14:paraId="100EB8CF" w14:textId="7FEDFAB5" w:rsidR="00940AC0" w:rsidRDefault="00940AC0" w:rsidP="00940AC0">
      <w:pPr>
        <w:pStyle w:val="ListParagraph"/>
        <w:numPr>
          <w:ilvl w:val="1"/>
          <w:numId w:val="5"/>
        </w:numPr>
      </w:pPr>
      <w:r>
        <w:t xml:space="preserve">WA-4438 Known issue with some participants RESEA dashboard not accessible to some users. Trying to determine if this is a dashboard bug. The TP is functioning as designed. In order to record the child response the users will need access to the program where the parent response was </w:t>
      </w:r>
      <w:r w:rsidR="00692C24">
        <w:t>recorded,</w:t>
      </w:r>
      <w:r>
        <w:t xml:space="preserve"> and it will need to be recorded in that same </w:t>
      </w:r>
      <w:r w:rsidR="001A7210">
        <w:t>office</w:t>
      </w:r>
      <w:r>
        <w:t>. We will need to work out a solution with the RESEA team.</w:t>
      </w:r>
    </w:p>
    <w:p w14:paraId="1FD4A030" w14:textId="77777777" w:rsidR="00940AC0" w:rsidRDefault="00940AC0" w:rsidP="00940AC0">
      <w:pPr>
        <w:pStyle w:val="ListParagraph"/>
        <w:numPr>
          <w:ilvl w:val="2"/>
          <w:numId w:val="5"/>
        </w:numPr>
      </w:pPr>
      <w:r>
        <w:t xml:space="preserve">Ex: You were logged into WS Yakima when you created the TPs. You also work in WS Sunnyside and have access to that office. When you are logged into WS Sunnyside you will not have the ability to edit the TP because it was created in WS Yakima. </w:t>
      </w:r>
    </w:p>
    <w:p w14:paraId="729A5920" w14:textId="2148BE48" w:rsidR="005B0603" w:rsidRDefault="005B0603" w:rsidP="005B0603">
      <w:pPr>
        <w:pStyle w:val="ListParagraph"/>
        <w:numPr>
          <w:ilvl w:val="1"/>
          <w:numId w:val="5"/>
        </w:numPr>
      </w:pPr>
      <w:r>
        <w:t xml:space="preserve">Internet Explorer (IE) will be </w:t>
      </w:r>
      <w:r w:rsidR="00D71FB2">
        <w:t>sunsetting</w:t>
      </w:r>
      <w:r>
        <w:t xml:space="preserve"> June </w:t>
      </w:r>
      <w:r w:rsidR="00AA770D">
        <w:t>8</w:t>
      </w:r>
      <w:r>
        <w:t>, 2022</w:t>
      </w:r>
    </w:p>
    <w:p w14:paraId="265A167D" w14:textId="77777777" w:rsidR="005B0603" w:rsidRDefault="005B0603" w:rsidP="005B0603">
      <w:pPr>
        <w:pStyle w:val="ListParagraph"/>
        <w:numPr>
          <w:ilvl w:val="2"/>
          <w:numId w:val="5"/>
        </w:numPr>
      </w:pPr>
      <w:r>
        <w:t>The default browser will be Edge</w:t>
      </w:r>
    </w:p>
    <w:p w14:paraId="03072DCB" w14:textId="526D1DEE" w:rsidR="005B0603" w:rsidRDefault="005B0603" w:rsidP="005B0603">
      <w:pPr>
        <w:pStyle w:val="ListParagraph"/>
        <w:numPr>
          <w:ilvl w:val="2"/>
          <w:numId w:val="5"/>
        </w:numPr>
      </w:pPr>
      <w:r>
        <w:t>Prepare now by transitioning to Edge or Chrome and move your favorites</w:t>
      </w:r>
      <w:r w:rsidR="0080021F">
        <w:t>!</w:t>
      </w:r>
      <w:r w:rsidR="00391C81">
        <w:t xml:space="preserve"> </w:t>
      </w:r>
    </w:p>
    <w:p w14:paraId="3F220C7A" w14:textId="28F75379" w:rsidR="00C869C2" w:rsidRDefault="00C869C2" w:rsidP="005B0603">
      <w:pPr>
        <w:pStyle w:val="ListParagraph"/>
        <w:numPr>
          <w:ilvl w:val="2"/>
          <w:numId w:val="5"/>
        </w:numPr>
      </w:pPr>
      <w:r>
        <w:t xml:space="preserve">Many have experienced caching issues with Chrome. Remember when you clear your Chrome cache it clears your safe sites which blocks opening ETO reports and other </w:t>
      </w:r>
      <w:r w:rsidR="00EF070E">
        <w:t>applications</w:t>
      </w:r>
      <w:r>
        <w:t xml:space="preserve">. Check out this short </w:t>
      </w:r>
      <w:hyperlink r:id="rId12" w:history="1">
        <w:r w:rsidRPr="00C869C2">
          <w:rPr>
            <w:rStyle w:val="Hyperlink"/>
          </w:rPr>
          <w:t>Report Pop-up Blockers</w:t>
        </w:r>
      </w:hyperlink>
      <w:r>
        <w:t xml:space="preserve"> video found on the WPC site</w:t>
      </w:r>
    </w:p>
    <w:p w14:paraId="27A89ED3" w14:textId="5165603C" w:rsidR="00E406B0" w:rsidRDefault="00E406B0" w:rsidP="000C7834">
      <w:pPr>
        <w:pStyle w:val="ListParagraph"/>
        <w:numPr>
          <w:ilvl w:val="1"/>
          <w:numId w:val="5"/>
        </w:numPr>
      </w:pPr>
      <w:r>
        <w:t>WA-4454 R</w:t>
      </w:r>
      <w:r w:rsidR="009C150A">
        <w:t>ESEA R</w:t>
      </w:r>
      <w:r>
        <w:t xml:space="preserve">equired </w:t>
      </w:r>
      <w:r w:rsidR="009C150A">
        <w:t>Ele</w:t>
      </w:r>
      <w:r>
        <w:t xml:space="preserve">ments Initial Response form not printing correctly. </w:t>
      </w:r>
      <w:r w:rsidR="00AA770D">
        <w:t>Issue under review</w:t>
      </w:r>
    </w:p>
    <w:p w14:paraId="0B0DA2F9" w14:textId="167B88C1" w:rsidR="000840FD" w:rsidRDefault="0065421C" w:rsidP="000840FD">
      <w:pPr>
        <w:pStyle w:val="ListParagraph"/>
        <w:numPr>
          <w:ilvl w:val="1"/>
          <w:numId w:val="5"/>
        </w:numPr>
      </w:pPr>
      <w:r>
        <w:t>WA-44</w:t>
      </w:r>
      <w:r w:rsidR="000840FD">
        <w:t>65</w:t>
      </w:r>
      <w:r>
        <w:t xml:space="preserve"> We received a ticket concerning </w:t>
      </w:r>
      <w:r w:rsidR="00CD7752">
        <w:t xml:space="preserve">that the </w:t>
      </w:r>
      <w:r>
        <w:t>WSWA Qtrac scheduler and W</w:t>
      </w:r>
      <w:r w:rsidR="00CD7752">
        <w:t>ork</w:t>
      </w:r>
      <w:r>
        <w:t>S</w:t>
      </w:r>
      <w:r w:rsidR="00CD7752">
        <w:t>ource</w:t>
      </w:r>
      <w:r>
        <w:t xml:space="preserve"> Office Locator don’t work </w:t>
      </w:r>
      <w:r w:rsidR="00CD7752">
        <w:t xml:space="preserve">correctly </w:t>
      </w:r>
      <w:r>
        <w:t xml:space="preserve">using IE browser. On the locater the </w:t>
      </w:r>
      <w:r w:rsidR="007F103C">
        <w:t>drop-down</w:t>
      </w:r>
      <w:r>
        <w:t xml:space="preserve"> </w:t>
      </w:r>
      <w:r w:rsidR="007F103C">
        <w:t>menus</w:t>
      </w:r>
      <w:r>
        <w:t xml:space="preserve"> are missing. </w:t>
      </w:r>
      <w:r w:rsidR="004E3154">
        <w:t xml:space="preserve">Talking with live chat agents it was discovered this also is </w:t>
      </w:r>
      <w:r w:rsidR="007F103C">
        <w:t>occurring</w:t>
      </w:r>
      <w:r w:rsidR="004E3154">
        <w:t xml:space="preserve"> when using Chrome. The issue is resolved by clearing the cache. </w:t>
      </w:r>
      <w:r w:rsidR="00CD7752">
        <w:t>I w</w:t>
      </w:r>
      <w:r w:rsidR="002400F5">
        <w:t xml:space="preserve">ill be submitting a ticket asking why the sudden issue </w:t>
      </w:r>
      <w:r w:rsidR="00CD7752">
        <w:t xml:space="preserve">is </w:t>
      </w:r>
      <w:r w:rsidR="002400F5">
        <w:t xml:space="preserve">resolved by clearing cache. </w:t>
      </w:r>
      <w:r w:rsidR="00CA2A32">
        <w:t>Issue under review</w:t>
      </w:r>
      <w:r w:rsidR="000840FD">
        <w:t>.</w:t>
      </w:r>
    </w:p>
    <w:p w14:paraId="1437813A" w14:textId="2A8083BA"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r w:rsidR="00CA2A32">
        <w:t>:</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759A1541" w14:textId="7BF16DC2"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w:t>
      </w:r>
      <w:r w:rsidR="00CA2A32">
        <w:rPr>
          <w:color w:val="FF0000"/>
        </w:rPr>
        <w:t>6/6</w:t>
      </w:r>
      <w:r w:rsidR="00021C57">
        <w:rPr>
          <w:color w:val="FF0000"/>
        </w:rPr>
        <w:t>/</w:t>
      </w:r>
      <w:r w:rsidRPr="0071073F">
        <w:rPr>
          <w:color w:val="FF0000"/>
        </w:rPr>
        <w:t>2</w:t>
      </w:r>
      <w:r w:rsidR="001A5783">
        <w:rPr>
          <w:color w:val="FF0000"/>
        </w:rPr>
        <w:t>2</w:t>
      </w:r>
      <w:r w:rsidRPr="0071073F">
        <w:rPr>
          <w:color w:val="FF0000"/>
        </w:rPr>
        <w:t xml:space="preserve">  </w:t>
      </w:r>
      <w:r w:rsidR="00CA2A32">
        <w:rPr>
          <w:color w:val="FF0000"/>
        </w:rPr>
        <w:t>9-12</w:t>
      </w:r>
    </w:p>
    <w:p w14:paraId="332E596C" w14:textId="1059834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w:t>
      </w:r>
      <w:r w:rsidR="002400F5">
        <w:t xml:space="preserve">get a </w:t>
      </w:r>
      <w:r>
        <w:t xml:space="preserve">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3"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lastRenderedPageBreak/>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4"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5"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17"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47E30D0"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708D506E" w14:textId="19107379"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18"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19"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lastRenderedPageBreak/>
        <w:t>Remember if you suggest an enhancement at T12, submit a remedy ticket.</w:t>
      </w:r>
    </w:p>
    <w:p w14:paraId="004B419F" w14:textId="6873EA19" w:rsidR="00A11E95" w:rsidRDefault="00CF478D" w:rsidP="00A11E95">
      <w:pPr>
        <w:pStyle w:val="ListParagraph"/>
        <w:numPr>
          <w:ilvl w:val="0"/>
          <w:numId w:val="5"/>
        </w:numPr>
        <w:spacing w:after="0"/>
        <w:rPr>
          <w:bCs/>
        </w:rPr>
      </w:pPr>
      <w:hyperlink r:id="rId20"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A6F6149" w:rsidR="004015FF" w:rsidRPr="004015FF" w:rsidRDefault="004015FF" w:rsidP="00EB728D">
      <w:pPr>
        <w:pStyle w:val="ListParagraph"/>
        <w:numPr>
          <w:ilvl w:val="0"/>
          <w:numId w:val="5"/>
        </w:numPr>
      </w:pPr>
      <w:bookmarkStart w:id="1" w:name="IE_sunset"/>
      <w:bookmarkStart w:id="2" w:name="_Hlk101937488"/>
      <w:r>
        <w:t>I</w:t>
      </w:r>
      <w:r w:rsidR="00A0372C">
        <w:t xml:space="preserve">nternet </w:t>
      </w:r>
      <w:r>
        <w:t>E</w:t>
      </w:r>
      <w:r w:rsidR="00A0372C">
        <w:t>xplorer (IE)</w:t>
      </w:r>
      <w:r>
        <w:t xml:space="preserve"> will </w:t>
      </w:r>
      <w:r w:rsidR="005B0603">
        <w:t xml:space="preserve">sunset </w:t>
      </w:r>
      <w:r w:rsidR="00595281">
        <w:t xml:space="preserve">June </w:t>
      </w:r>
      <w:r w:rsidR="000E6AF3">
        <w:t>8</w:t>
      </w:r>
      <w:r w:rsidR="00595281">
        <w:t>, 2022</w:t>
      </w:r>
    </w:p>
    <w:bookmarkEnd w:id="1"/>
    <w:p w14:paraId="047794C4" w14:textId="77777777" w:rsidR="00595281" w:rsidRPr="00595281" w:rsidRDefault="00595281" w:rsidP="00EB728D">
      <w:pPr>
        <w:pStyle w:val="ListParagraph"/>
        <w:numPr>
          <w:ilvl w:val="1"/>
          <w:numId w:val="5"/>
        </w:numPr>
        <w:rPr>
          <w:i/>
          <w:iCs/>
        </w:rPr>
      </w:pPr>
      <w:r>
        <w:t>The default browser will be Edge</w:t>
      </w:r>
    </w:p>
    <w:p w14:paraId="2A03ADB7" w14:textId="0AE4BEC7"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bookmarkEnd w:id="2"/>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1"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bookmarkStart w:id="3" w:name="_Ref101937719"/>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bookmarkEnd w:id="3"/>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4"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0726CDC2" w:rsidR="00CE499B" w:rsidRDefault="00FB3094" w:rsidP="00CE499B">
      <w:pPr>
        <w:spacing w:after="0"/>
        <w:rPr>
          <w:bCs/>
          <w:i/>
          <w:iCs/>
        </w:rPr>
      </w:pPr>
      <w:r w:rsidRPr="00FB3094">
        <w:rPr>
          <w:b/>
        </w:rPr>
        <w:t>CHAT</w:t>
      </w:r>
      <w:r w:rsidR="00CE499B" w:rsidRPr="00CE499B">
        <w:rPr>
          <w:bCs/>
          <w:i/>
          <w:iCs/>
        </w:rPr>
        <w:t xml:space="preserve"> </w:t>
      </w:r>
    </w:p>
    <w:p w14:paraId="63167CBC" w14:textId="77777777" w:rsidR="00C5099B" w:rsidRDefault="00C5099B" w:rsidP="00C5099B">
      <w:pPr>
        <w:spacing w:after="0"/>
        <w:rPr>
          <w:bCs/>
        </w:rPr>
      </w:pPr>
    </w:p>
    <w:p w14:paraId="4F426BAA" w14:textId="163DFCC3" w:rsidR="00C5099B" w:rsidRPr="00C5099B" w:rsidRDefault="00C5099B" w:rsidP="00C5099B">
      <w:pPr>
        <w:spacing w:after="0"/>
        <w:rPr>
          <w:bCs/>
        </w:rPr>
      </w:pPr>
      <w:r w:rsidRPr="00C5099B">
        <w:rPr>
          <w:bCs/>
        </w:rPr>
        <w:t>Discussion:</w:t>
      </w:r>
    </w:p>
    <w:p w14:paraId="42292988" w14:textId="77777777" w:rsidR="00C5099B" w:rsidRPr="00C5099B" w:rsidRDefault="00C5099B" w:rsidP="00C5099B">
      <w:pPr>
        <w:spacing w:after="0"/>
        <w:rPr>
          <w:bCs/>
        </w:rPr>
      </w:pPr>
    </w:p>
    <w:p w14:paraId="402B18E7" w14:textId="77777777" w:rsidR="00C5099B" w:rsidRPr="00C5099B" w:rsidRDefault="00C5099B" w:rsidP="00C5099B">
      <w:pPr>
        <w:spacing w:after="0"/>
        <w:rPr>
          <w:b/>
          <w:bCs/>
        </w:rPr>
      </w:pPr>
      <w:r w:rsidRPr="00C5099B">
        <w:rPr>
          <w:b/>
          <w:bCs/>
        </w:rPr>
        <w:t>ETO Basic Training—</w:t>
      </w:r>
    </w:p>
    <w:p w14:paraId="50672F3B" w14:textId="77777777" w:rsidR="00C5099B" w:rsidRPr="00C5099B" w:rsidRDefault="00C5099B" w:rsidP="00C5099B">
      <w:pPr>
        <w:spacing w:after="0"/>
        <w:rPr>
          <w:bCs/>
          <w:i/>
          <w:iCs/>
        </w:rPr>
      </w:pPr>
      <w:r w:rsidRPr="00C5099B">
        <w:rPr>
          <w:bCs/>
          <w:i/>
          <w:iCs/>
        </w:rPr>
        <w:t>from Teresa Anda to everyone:    10:01 AM</w:t>
      </w:r>
    </w:p>
    <w:p w14:paraId="218BD80E" w14:textId="77777777" w:rsidR="00C5099B" w:rsidRPr="00C5099B" w:rsidRDefault="00C5099B" w:rsidP="00C5099B">
      <w:pPr>
        <w:spacing w:after="0"/>
        <w:rPr>
          <w:bCs/>
        </w:rPr>
      </w:pPr>
      <w:r w:rsidRPr="00C5099B">
        <w:rPr>
          <w:bCs/>
        </w:rPr>
        <w:t>Lynn, can you go over the process for training new staff going forward.</w:t>
      </w:r>
    </w:p>
    <w:p w14:paraId="0CEC60F7" w14:textId="77777777" w:rsidR="00C5099B" w:rsidRPr="00C5099B" w:rsidRDefault="00C5099B" w:rsidP="00C5099B">
      <w:pPr>
        <w:numPr>
          <w:ilvl w:val="0"/>
          <w:numId w:val="42"/>
        </w:numPr>
        <w:spacing w:after="0"/>
        <w:rPr>
          <w:bCs/>
        </w:rPr>
      </w:pPr>
      <w:r w:rsidRPr="00C5099B">
        <w:rPr>
          <w:bCs/>
        </w:rPr>
        <w:t>Lynn creating 3 modules as videos; they will be posted on the WPC site under ETO &gt; Training Resources &gt; ETO Basic and Refresher Training.</w:t>
      </w:r>
    </w:p>
    <w:p w14:paraId="635088F8" w14:textId="77777777" w:rsidR="00C5099B" w:rsidRPr="00C5099B" w:rsidRDefault="00C5099B" w:rsidP="00C5099B">
      <w:pPr>
        <w:numPr>
          <w:ilvl w:val="0"/>
          <w:numId w:val="42"/>
        </w:numPr>
        <w:spacing w:after="0"/>
        <w:rPr>
          <w:bCs/>
        </w:rPr>
      </w:pPr>
      <w:r w:rsidRPr="00C5099B">
        <w:rPr>
          <w:bCs/>
        </w:rPr>
        <w:t>There are 10 training accounts for each WDA; if need access to area training videos, submit a remedy ticket to ask for training accounts.  Once form completed, Lynn will set accounts us and provide password.  Once the date ends, the passwords will be reset and ready for the next group of trainees.</w:t>
      </w:r>
    </w:p>
    <w:p w14:paraId="23A37680" w14:textId="77777777" w:rsidR="00C5099B" w:rsidRPr="00C5099B" w:rsidRDefault="00C5099B" w:rsidP="00C5099B">
      <w:pPr>
        <w:numPr>
          <w:ilvl w:val="0"/>
          <w:numId w:val="42"/>
        </w:numPr>
        <w:spacing w:after="0"/>
        <w:rPr>
          <w:bCs/>
        </w:rPr>
      </w:pPr>
      <w:r w:rsidRPr="00C5099B">
        <w:rPr>
          <w:bCs/>
        </w:rPr>
        <w:t>Lynn will create a desk aid walking through the step-by-step process for the self-training process.  Videos are exactly the same as the live training, so staff will not be missing out on anything reviewing these modules vs. what they received live.</w:t>
      </w:r>
    </w:p>
    <w:p w14:paraId="5105CF43" w14:textId="77777777" w:rsidR="00C5099B" w:rsidRPr="00C5099B" w:rsidRDefault="00C5099B" w:rsidP="00C5099B">
      <w:pPr>
        <w:numPr>
          <w:ilvl w:val="1"/>
          <w:numId w:val="42"/>
        </w:numPr>
        <w:spacing w:after="0"/>
        <w:rPr>
          <w:bCs/>
        </w:rPr>
      </w:pPr>
      <w:r w:rsidRPr="00C5099B">
        <w:rPr>
          <w:bCs/>
        </w:rPr>
        <w:t>Module 1 – overview of WPC resources</w:t>
      </w:r>
    </w:p>
    <w:p w14:paraId="66ED111C" w14:textId="77777777" w:rsidR="00C5099B" w:rsidRPr="00C5099B" w:rsidRDefault="00C5099B" w:rsidP="00C5099B">
      <w:pPr>
        <w:numPr>
          <w:ilvl w:val="1"/>
          <w:numId w:val="42"/>
        </w:numPr>
        <w:spacing w:after="0"/>
        <w:rPr>
          <w:bCs/>
        </w:rPr>
      </w:pPr>
      <w:r w:rsidRPr="00C5099B">
        <w:rPr>
          <w:bCs/>
        </w:rPr>
        <w:t>Module 2 – technology tab</w:t>
      </w:r>
    </w:p>
    <w:p w14:paraId="2FB63BDC" w14:textId="77777777" w:rsidR="00C5099B" w:rsidRPr="00C5099B" w:rsidRDefault="00C5099B" w:rsidP="00C5099B">
      <w:pPr>
        <w:numPr>
          <w:ilvl w:val="1"/>
          <w:numId w:val="42"/>
        </w:numPr>
        <w:spacing w:after="0"/>
        <w:rPr>
          <w:bCs/>
        </w:rPr>
      </w:pPr>
      <w:r w:rsidRPr="00C5099B">
        <w:rPr>
          <w:bCs/>
        </w:rPr>
        <w:t>Module 3 – hands-on training – review of services catalog; logging into a training account &amp; signing NDA; going to production &amp; signing NDA; user dashboard; searching for participants; running opt-out report; side navigation bar; doing a program enrollment; adding a qualifying service so participation starts; overview of WSWA.</w:t>
      </w:r>
    </w:p>
    <w:p w14:paraId="7D2334D8" w14:textId="77777777" w:rsidR="00C5099B" w:rsidRPr="00C5099B" w:rsidRDefault="00C5099B" w:rsidP="00C5099B">
      <w:pPr>
        <w:spacing w:after="0"/>
        <w:rPr>
          <w:bCs/>
        </w:rPr>
      </w:pPr>
    </w:p>
    <w:p w14:paraId="4AAF3F13" w14:textId="77777777" w:rsidR="00C5099B" w:rsidRPr="00C5099B" w:rsidRDefault="00C5099B" w:rsidP="00C5099B">
      <w:pPr>
        <w:spacing w:after="0"/>
        <w:rPr>
          <w:b/>
          <w:bCs/>
          <w:i/>
          <w:iCs/>
        </w:rPr>
      </w:pPr>
      <w:r w:rsidRPr="00C5099B">
        <w:rPr>
          <w:b/>
          <w:bCs/>
          <w:i/>
          <w:iCs/>
        </w:rPr>
        <w:lastRenderedPageBreak/>
        <w:t>Dashboard issue for recording services—</w:t>
      </w:r>
    </w:p>
    <w:p w14:paraId="40139870" w14:textId="77777777" w:rsidR="00C5099B" w:rsidRPr="00C5099B" w:rsidRDefault="00C5099B" w:rsidP="00C5099B">
      <w:pPr>
        <w:numPr>
          <w:ilvl w:val="0"/>
          <w:numId w:val="43"/>
        </w:numPr>
        <w:spacing w:after="0"/>
        <w:rPr>
          <w:bCs/>
        </w:rPr>
      </w:pPr>
      <w:r w:rsidRPr="00C5099B">
        <w:rPr>
          <w:bCs/>
        </w:rPr>
        <w:t>You can select ‘Review Seeker/Participant TouchPoints’ from seeker dashboard, and you can add services from that screen, either by selecting ‘Take New next to ‘Basic Service’ or click on the ‘Take New TouchPoint’ button at the bottom of the page.</w:t>
      </w:r>
    </w:p>
    <w:p w14:paraId="4ACBE70A" w14:textId="77777777" w:rsidR="00C5099B" w:rsidRPr="00C5099B" w:rsidRDefault="00C5099B" w:rsidP="00C5099B">
      <w:pPr>
        <w:numPr>
          <w:ilvl w:val="0"/>
          <w:numId w:val="43"/>
        </w:numPr>
        <w:spacing w:after="0"/>
        <w:rPr>
          <w:bCs/>
        </w:rPr>
      </w:pPr>
      <w:r w:rsidRPr="00C5099B">
        <w:rPr>
          <w:bCs/>
        </w:rPr>
        <w:t>You can also use left-hand navigation – TouchPoints &gt; Record New TouchPoints.</w:t>
      </w:r>
    </w:p>
    <w:p w14:paraId="0B6B491F" w14:textId="77777777" w:rsidR="00C5099B" w:rsidRPr="00C5099B" w:rsidRDefault="00C5099B" w:rsidP="00C5099B">
      <w:pPr>
        <w:spacing w:after="0"/>
        <w:rPr>
          <w:bCs/>
        </w:rPr>
      </w:pPr>
    </w:p>
    <w:p w14:paraId="2DE0DF9D" w14:textId="196C08D9" w:rsidR="00C5099B" w:rsidRDefault="00C5099B" w:rsidP="00C5099B">
      <w:pPr>
        <w:spacing w:after="0"/>
        <w:rPr>
          <w:bCs/>
        </w:rPr>
      </w:pPr>
      <w:r w:rsidRPr="00C5099B">
        <w:rPr>
          <w:b/>
          <w:bCs/>
          <w:i/>
          <w:iCs/>
        </w:rPr>
        <w:t>ETO tickets</w:t>
      </w:r>
      <w:r w:rsidRPr="00C5099B">
        <w:rPr>
          <w:bCs/>
        </w:rPr>
        <w:t>—no movement; leaving on agenda for awareness.</w:t>
      </w:r>
    </w:p>
    <w:p w14:paraId="609C1F7B" w14:textId="6070A9CB" w:rsidR="00C5099B" w:rsidRDefault="00C5099B" w:rsidP="00C5099B">
      <w:pPr>
        <w:spacing w:after="0"/>
        <w:rPr>
          <w:bCs/>
        </w:rPr>
      </w:pPr>
    </w:p>
    <w:p w14:paraId="5DEF5F15" w14:textId="13A2FA8E" w:rsidR="00C5099B" w:rsidRPr="00C5099B" w:rsidRDefault="00C5099B" w:rsidP="00C5099B">
      <w:pPr>
        <w:spacing w:after="0"/>
        <w:rPr>
          <w:b/>
          <w:bCs/>
          <w:i/>
          <w:iCs/>
        </w:rPr>
      </w:pPr>
      <w:r w:rsidRPr="00C5099B">
        <w:rPr>
          <w:b/>
          <w:bCs/>
          <w:i/>
          <w:iCs/>
        </w:rPr>
        <w:t xml:space="preserve">Internet </w:t>
      </w:r>
      <w:r w:rsidR="00304FB6" w:rsidRPr="00C5099B">
        <w:rPr>
          <w:b/>
          <w:bCs/>
          <w:i/>
          <w:iCs/>
        </w:rPr>
        <w:t>Explorer</w:t>
      </w:r>
      <w:r w:rsidRPr="00C5099B">
        <w:rPr>
          <w:b/>
          <w:bCs/>
          <w:i/>
          <w:iCs/>
        </w:rPr>
        <w:t xml:space="preserve"> sunsetting—</w:t>
      </w:r>
    </w:p>
    <w:p w14:paraId="431F9713" w14:textId="77777777" w:rsidR="00C5099B" w:rsidRPr="00C5099B" w:rsidRDefault="00C5099B" w:rsidP="00C5099B">
      <w:pPr>
        <w:numPr>
          <w:ilvl w:val="0"/>
          <w:numId w:val="44"/>
        </w:numPr>
        <w:spacing w:after="0"/>
        <w:rPr>
          <w:bCs/>
        </w:rPr>
      </w:pPr>
      <w:r w:rsidRPr="00C5099B">
        <w:rPr>
          <w:bCs/>
        </w:rPr>
        <w:t>Edge seems to work better for caching issues; however, you can use either Edge or Chrome.</w:t>
      </w:r>
    </w:p>
    <w:p w14:paraId="2DF383B4" w14:textId="77777777" w:rsidR="00C5099B" w:rsidRPr="00C5099B" w:rsidRDefault="00C5099B" w:rsidP="00C5099B">
      <w:pPr>
        <w:spacing w:after="0"/>
        <w:rPr>
          <w:bCs/>
          <w:i/>
          <w:iCs/>
        </w:rPr>
      </w:pPr>
      <w:r w:rsidRPr="00C5099B">
        <w:rPr>
          <w:bCs/>
          <w:i/>
          <w:iCs/>
        </w:rPr>
        <w:t>from Mack, Donna R (ESD) to everyone:    10:18 AM</w:t>
      </w:r>
    </w:p>
    <w:p w14:paraId="72105506" w14:textId="77777777" w:rsidR="00C5099B" w:rsidRPr="00C5099B" w:rsidRDefault="00C5099B" w:rsidP="00C5099B">
      <w:pPr>
        <w:spacing w:after="0"/>
        <w:rPr>
          <w:bCs/>
        </w:rPr>
      </w:pPr>
      <w:r w:rsidRPr="00C5099B">
        <w:rPr>
          <w:bCs/>
        </w:rPr>
        <w:t>Is the agency communicating about the IE sunset? I am not seeing it in all-staff communications</w:t>
      </w:r>
    </w:p>
    <w:p w14:paraId="779AAFB4" w14:textId="77777777" w:rsidR="00C5099B" w:rsidRPr="00C5099B" w:rsidRDefault="00C5099B" w:rsidP="00C5099B">
      <w:pPr>
        <w:numPr>
          <w:ilvl w:val="0"/>
          <w:numId w:val="44"/>
        </w:numPr>
        <w:spacing w:after="0"/>
        <w:rPr>
          <w:bCs/>
        </w:rPr>
      </w:pPr>
      <w:r w:rsidRPr="00C5099B">
        <w:rPr>
          <w:bCs/>
        </w:rPr>
        <w:t>They are preparing to roll out the communications soon.</w:t>
      </w:r>
    </w:p>
    <w:p w14:paraId="04537538" w14:textId="77777777" w:rsidR="00C5099B" w:rsidRPr="00C5099B" w:rsidRDefault="00C5099B" w:rsidP="00C5099B">
      <w:pPr>
        <w:spacing w:after="0"/>
        <w:rPr>
          <w:bCs/>
          <w:i/>
          <w:iCs/>
        </w:rPr>
      </w:pPr>
      <w:r w:rsidRPr="00C5099B">
        <w:rPr>
          <w:bCs/>
          <w:i/>
          <w:iCs/>
        </w:rPr>
        <w:t>from Gillis, Deanna F. (ESD) to everyone:    10:20 AM</w:t>
      </w:r>
    </w:p>
    <w:p w14:paraId="10C49D52" w14:textId="77777777" w:rsidR="00C5099B" w:rsidRPr="00C5099B" w:rsidRDefault="00C5099B" w:rsidP="00C5099B">
      <w:pPr>
        <w:spacing w:after="0"/>
        <w:rPr>
          <w:bCs/>
        </w:rPr>
      </w:pPr>
      <w:r w:rsidRPr="00C5099B">
        <w:rPr>
          <w:bCs/>
        </w:rPr>
        <w:t>Something is supposed to be coming out tomorrow in the weekly letter</w:t>
      </w:r>
    </w:p>
    <w:p w14:paraId="61D3FA33" w14:textId="77777777" w:rsidR="00C5099B" w:rsidRPr="00C5099B" w:rsidRDefault="00C5099B" w:rsidP="00C5099B">
      <w:pPr>
        <w:spacing w:after="0"/>
        <w:rPr>
          <w:bCs/>
          <w:i/>
          <w:iCs/>
        </w:rPr>
      </w:pPr>
      <w:r w:rsidRPr="00C5099B">
        <w:rPr>
          <w:bCs/>
          <w:i/>
          <w:iCs/>
        </w:rPr>
        <w:t>from Gillis, Deanna F. (ESD) to everyone:    10:23 AM</w:t>
      </w:r>
    </w:p>
    <w:p w14:paraId="1C326533" w14:textId="77777777" w:rsidR="00C5099B" w:rsidRPr="00C5099B" w:rsidRDefault="00C5099B" w:rsidP="00C5099B">
      <w:pPr>
        <w:spacing w:after="0"/>
        <w:rPr>
          <w:bCs/>
        </w:rPr>
      </w:pPr>
      <w:r w:rsidRPr="00C5099B">
        <w:rPr>
          <w:bCs/>
        </w:rPr>
        <w:t xml:space="preserve">From Famous Atkinson:  Thursday May 19, we will be letting everyone know in an all-staff message. </w:t>
      </w:r>
      <w:r w:rsidRPr="00C5099B">
        <w:rPr>
          <w:bCs/>
        </w:rPr>
        <w:cr/>
        <w:t xml:space="preserve">We will also be sending reminder all-staff messages on June 2 and June 7. </w:t>
      </w:r>
      <w:r w:rsidRPr="00C5099B">
        <w:rPr>
          <w:bCs/>
        </w:rPr>
        <w:cr/>
        <w:t xml:space="preserve">Thursday May 19, we will be letting everyone know in an all-staff message. </w:t>
      </w:r>
      <w:r w:rsidRPr="00C5099B">
        <w:rPr>
          <w:bCs/>
        </w:rPr>
        <w:cr/>
        <w:t xml:space="preserve">We will also be sending reminder all-staff messages on June 2 and June 7. </w:t>
      </w:r>
      <w:r w:rsidRPr="00C5099B">
        <w:rPr>
          <w:bCs/>
        </w:rPr>
        <w:cr/>
        <w:t>And of course, we would appreciate you reinforcing the all-staff message to your direct reports.</w:t>
      </w:r>
    </w:p>
    <w:p w14:paraId="546113DE" w14:textId="77777777" w:rsidR="00C5099B" w:rsidRPr="00C5099B" w:rsidRDefault="00C5099B" w:rsidP="00C5099B">
      <w:pPr>
        <w:spacing w:after="0"/>
        <w:rPr>
          <w:bCs/>
        </w:rPr>
      </w:pPr>
    </w:p>
    <w:p w14:paraId="2B440A49" w14:textId="77777777" w:rsidR="00C5099B" w:rsidRPr="00C5099B" w:rsidRDefault="00C5099B" w:rsidP="00C5099B">
      <w:pPr>
        <w:spacing w:after="0"/>
        <w:rPr>
          <w:bCs/>
        </w:rPr>
      </w:pPr>
      <w:r w:rsidRPr="00C5099B">
        <w:rPr>
          <w:b/>
          <w:bCs/>
          <w:i/>
          <w:iCs/>
        </w:rPr>
        <w:t>WIT replacement suggestions</w:t>
      </w:r>
      <w:r w:rsidRPr="00C5099B">
        <w:rPr>
          <w:b/>
          <w:bCs/>
        </w:rPr>
        <w:t>—</w:t>
      </w:r>
      <w:r w:rsidRPr="00C5099B">
        <w:rPr>
          <w:bCs/>
        </w:rPr>
        <w:t xml:space="preserve">use the link at the bottom of this page on the WPC site: </w:t>
      </w:r>
      <w:hyperlink r:id="rId25" w:history="1">
        <w:r w:rsidRPr="00C5099B">
          <w:rPr>
            <w:rStyle w:val="Hyperlink"/>
            <w:bCs/>
          </w:rPr>
          <w:t>https://wpc.wa.gov/wswa/wit-replacement-project</w:t>
        </w:r>
      </w:hyperlink>
      <w:r w:rsidRPr="00C5099B">
        <w:rPr>
          <w:bCs/>
        </w:rPr>
        <w:t xml:space="preserve"> </w:t>
      </w:r>
    </w:p>
    <w:p w14:paraId="76B05008" w14:textId="77777777" w:rsidR="00F80E9C" w:rsidRPr="00F80E9C" w:rsidRDefault="00F80E9C" w:rsidP="00CE499B">
      <w:pPr>
        <w:spacing w:after="0"/>
        <w:rPr>
          <w:bCs/>
        </w:rPr>
      </w:pPr>
    </w:p>
    <w:p w14:paraId="065E8100" w14:textId="489C6256"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6DAAA9EF" w14:textId="77777777" w:rsidR="00C5099B" w:rsidRPr="00C5099B" w:rsidRDefault="00C5099B" w:rsidP="00C5099B">
      <w:pPr>
        <w:tabs>
          <w:tab w:val="left" w:pos="2760"/>
        </w:tabs>
        <w:spacing w:after="0"/>
        <w:rPr>
          <w:bCs/>
        </w:rPr>
      </w:pPr>
      <w:r w:rsidRPr="00C5099B">
        <w:rPr>
          <w:bCs/>
        </w:rPr>
        <w:t>Abplanalp, Christopher</w:t>
      </w:r>
    </w:p>
    <w:p w14:paraId="474617AE" w14:textId="77777777" w:rsidR="00C5099B" w:rsidRPr="00C5099B" w:rsidRDefault="00C5099B" w:rsidP="00C5099B">
      <w:pPr>
        <w:tabs>
          <w:tab w:val="left" w:pos="2760"/>
        </w:tabs>
        <w:spacing w:after="0"/>
        <w:rPr>
          <w:bCs/>
        </w:rPr>
      </w:pPr>
      <w:r w:rsidRPr="00C5099B">
        <w:rPr>
          <w:bCs/>
        </w:rPr>
        <w:t>Aparicio, Rudy</w:t>
      </w:r>
    </w:p>
    <w:p w14:paraId="670750BD" w14:textId="77777777" w:rsidR="00C5099B" w:rsidRPr="00C5099B" w:rsidRDefault="00C5099B" w:rsidP="00C5099B">
      <w:pPr>
        <w:tabs>
          <w:tab w:val="left" w:pos="2760"/>
        </w:tabs>
        <w:spacing w:after="0"/>
        <w:rPr>
          <w:bCs/>
        </w:rPr>
      </w:pPr>
      <w:r w:rsidRPr="00C5099B">
        <w:rPr>
          <w:bCs/>
        </w:rPr>
        <w:t>Ariana Cordova</w:t>
      </w:r>
    </w:p>
    <w:p w14:paraId="1EB15D65" w14:textId="77777777" w:rsidR="00C5099B" w:rsidRPr="00C5099B" w:rsidRDefault="00C5099B" w:rsidP="00C5099B">
      <w:pPr>
        <w:tabs>
          <w:tab w:val="left" w:pos="2760"/>
        </w:tabs>
        <w:spacing w:after="0"/>
        <w:rPr>
          <w:bCs/>
        </w:rPr>
      </w:pPr>
      <w:r w:rsidRPr="00C5099B">
        <w:rPr>
          <w:bCs/>
        </w:rPr>
        <w:t>Baker, Mirayia</w:t>
      </w:r>
    </w:p>
    <w:p w14:paraId="1558B367" w14:textId="77777777" w:rsidR="00C5099B" w:rsidRPr="00C5099B" w:rsidRDefault="00C5099B" w:rsidP="00C5099B">
      <w:pPr>
        <w:tabs>
          <w:tab w:val="left" w:pos="2760"/>
        </w:tabs>
        <w:spacing w:after="0"/>
        <w:rPr>
          <w:bCs/>
        </w:rPr>
      </w:pPr>
      <w:r w:rsidRPr="00C5099B">
        <w:rPr>
          <w:bCs/>
        </w:rPr>
        <w:t>Bonnie Rodriguez</w:t>
      </w:r>
    </w:p>
    <w:p w14:paraId="06E72361" w14:textId="77777777" w:rsidR="00C5099B" w:rsidRPr="00C5099B" w:rsidRDefault="00C5099B" w:rsidP="00C5099B">
      <w:pPr>
        <w:tabs>
          <w:tab w:val="left" w:pos="2760"/>
        </w:tabs>
        <w:spacing w:after="0"/>
        <w:rPr>
          <w:bCs/>
        </w:rPr>
      </w:pPr>
      <w:r w:rsidRPr="00C5099B">
        <w:rPr>
          <w:bCs/>
        </w:rPr>
        <w:t>Cascio, Jaclyn</w:t>
      </w:r>
    </w:p>
    <w:p w14:paraId="6C44F31D" w14:textId="77777777" w:rsidR="00C5099B" w:rsidRPr="00C5099B" w:rsidRDefault="00C5099B" w:rsidP="00C5099B">
      <w:pPr>
        <w:tabs>
          <w:tab w:val="left" w:pos="2760"/>
        </w:tabs>
        <w:spacing w:after="0"/>
        <w:rPr>
          <w:bCs/>
        </w:rPr>
      </w:pPr>
      <w:r w:rsidRPr="00C5099B">
        <w:rPr>
          <w:bCs/>
        </w:rPr>
        <w:t>Chase, Kim</w:t>
      </w:r>
    </w:p>
    <w:p w14:paraId="2C2F8630" w14:textId="77777777" w:rsidR="00C5099B" w:rsidRPr="00C5099B" w:rsidRDefault="00C5099B" w:rsidP="00C5099B">
      <w:pPr>
        <w:tabs>
          <w:tab w:val="left" w:pos="2760"/>
        </w:tabs>
        <w:spacing w:after="0"/>
        <w:rPr>
          <w:bCs/>
        </w:rPr>
      </w:pPr>
      <w:r w:rsidRPr="00C5099B">
        <w:rPr>
          <w:bCs/>
        </w:rPr>
        <w:t>Christopher File</w:t>
      </w:r>
    </w:p>
    <w:p w14:paraId="363BB395" w14:textId="77777777" w:rsidR="00C5099B" w:rsidRPr="00C5099B" w:rsidRDefault="00C5099B" w:rsidP="00C5099B">
      <w:pPr>
        <w:tabs>
          <w:tab w:val="left" w:pos="2760"/>
        </w:tabs>
        <w:spacing w:after="0"/>
        <w:rPr>
          <w:bCs/>
        </w:rPr>
      </w:pPr>
      <w:r w:rsidRPr="00C5099B">
        <w:rPr>
          <w:bCs/>
        </w:rPr>
        <w:t>Cori-Ann Ching</w:t>
      </w:r>
    </w:p>
    <w:p w14:paraId="2B65344C" w14:textId="77777777" w:rsidR="00C5099B" w:rsidRPr="00C5099B" w:rsidRDefault="00C5099B" w:rsidP="00C5099B">
      <w:pPr>
        <w:tabs>
          <w:tab w:val="left" w:pos="2760"/>
        </w:tabs>
        <w:spacing w:after="0"/>
        <w:rPr>
          <w:bCs/>
        </w:rPr>
      </w:pPr>
      <w:r w:rsidRPr="00C5099B">
        <w:rPr>
          <w:bCs/>
        </w:rPr>
        <w:t>Dawn Oakes</w:t>
      </w:r>
    </w:p>
    <w:p w14:paraId="649400ED" w14:textId="77777777" w:rsidR="00C5099B" w:rsidRPr="00C5099B" w:rsidRDefault="00C5099B" w:rsidP="00C5099B">
      <w:pPr>
        <w:tabs>
          <w:tab w:val="left" w:pos="2760"/>
        </w:tabs>
        <w:spacing w:after="0"/>
        <w:rPr>
          <w:bCs/>
        </w:rPr>
      </w:pPr>
      <w:r w:rsidRPr="00C5099B">
        <w:rPr>
          <w:bCs/>
        </w:rPr>
        <w:t>Donna Hendrickson</w:t>
      </w:r>
    </w:p>
    <w:p w14:paraId="1CF48294" w14:textId="77777777" w:rsidR="00C5099B" w:rsidRPr="00C5099B" w:rsidRDefault="00C5099B" w:rsidP="00C5099B">
      <w:pPr>
        <w:tabs>
          <w:tab w:val="left" w:pos="2760"/>
        </w:tabs>
        <w:spacing w:after="0"/>
        <w:rPr>
          <w:bCs/>
        </w:rPr>
      </w:pPr>
      <w:r w:rsidRPr="00C5099B">
        <w:rPr>
          <w:bCs/>
        </w:rPr>
        <w:t>Dorothy Rocha</w:t>
      </w:r>
    </w:p>
    <w:p w14:paraId="6B42329E" w14:textId="77777777" w:rsidR="00C5099B" w:rsidRPr="00C5099B" w:rsidRDefault="00C5099B" w:rsidP="00C5099B">
      <w:pPr>
        <w:tabs>
          <w:tab w:val="left" w:pos="2760"/>
        </w:tabs>
        <w:spacing w:after="0"/>
        <w:rPr>
          <w:bCs/>
        </w:rPr>
      </w:pPr>
      <w:r w:rsidRPr="00C5099B">
        <w:rPr>
          <w:bCs/>
        </w:rPr>
        <w:t>Dzenita Musabegovic</w:t>
      </w:r>
    </w:p>
    <w:p w14:paraId="659CC2D8" w14:textId="77777777" w:rsidR="00C5099B" w:rsidRPr="00C5099B" w:rsidRDefault="00C5099B" w:rsidP="00C5099B">
      <w:pPr>
        <w:tabs>
          <w:tab w:val="left" w:pos="2760"/>
        </w:tabs>
        <w:spacing w:after="0"/>
        <w:rPr>
          <w:bCs/>
        </w:rPr>
      </w:pPr>
      <w:r w:rsidRPr="00C5099B">
        <w:rPr>
          <w:bCs/>
        </w:rPr>
        <w:t>Emily Anderson</w:t>
      </w:r>
    </w:p>
    <w:p w14:paraId="49EBC497" w14:textId="77777777" w:rsidR="00C5099B" w:rsidRPr="00C5099B" w:rsidRDefault="00C5099B" w:rsidP="00C5099B">
      <w:pPr>
        <w:tabs>
          <w:tab w:val="left" w:pos="2760"/>
        </w:tabs>
        <w:spacing w:after="0"/>
        <w:rPr>
          <w:bCs/>
        </w:rPr>
      </w:pPr>
      <w:r w:rsidRPr="00C5099B">
        <w:rPr>
          <w:bCs/>
        </w:rPr>
        <w:t>Erickson, Tristan</w:t>
      </w:r>
    </w:p>
    <w:p w14:paraId="74E1B2D0" w14:textId="77777777" w:rsidR="00C5099B" w:rsidRPr="00C5099B" w:rsidRDefault="00C5099B" w:rsidP="00C5099B">
      <w:pPr>
        <w:tabs>
          <w:tab w:val="left" w:pos="2760"/>
        </w:tabs>
        <w:spacing w:after="0"/>
        <w:rPr>
          <w:bCs/>
        </w:rPr>
      </w:pPr>
      <w:r w:rsidRPr="00C5099B">
        <w:rPr>
          <w:bCs/>
        </w:rPr>
        <w:t>Gillis, Deanna</w:t>
      </w:r>
    </w:p>
    <w:p w14:paraId="1195CD3A" w14:textId="77777777" w:rsidR="00C5099B" w:rsidRPr="00C5099B" w:rsidRDefault="00C5099B" w:rsidP="00C5099B">
      <w:pPr>
        <w:tabs>
          <w:tab w:val="left" w:pos="2760"/>
        </w:tabs>
        <w:spacing w:after="0"/>
        <w:rPr>
          <w:bCs/>
        </w:rPr>
      </w:pPr>
      <w:r w:rsidRPr="00C5099B">
        <w:rPr>
          <w:bCs/>
        </w:rPr>
        <w:t>Griffith, Michelle</w:t>
      </w:r>
    </w:p>
    <w:p w14:paraId="3AEEE0B2" w14:textId="77777777" w:rsidR="00C5099B" w:rsidRPr="00C5099B" w:rsidRDefault="00C5099B" w:rsidP="00C5099B">
      <w:pPr>
        <w:tabs>
          <w:tab w:val="left" w:pos="2760"/>
        </w:tabs>
        <w:spacing w:after="0"/>
        <w:rPr>
          <w:bCs/>
        </w:rPr>
      </w:pPr>
      <w:r w:rsidRPr="00C5099B">
        <w:rPr>
          <w:bCs/>
        </w:rPr>
        <w:t>Heidi Lamers</w:t>
      </w:r>
    </w:p>
    <w:p w14:paraId="792ED019" w14:textId="77777777" w:rsidR="00C5099B" w:rsidRPr="00C5099B" w:rsidRDefault="00C5099B" w:rsidP="00C5099B">
      <w:pPr>
        <w:tabs>
          <w:tab w:val="left" w:pos="2760"/>
        </w:tabs>
        <w:spacing w:after="0"/>
        <w:rPr>
          <w:bCs/>
        </w:rPr>
      </w:pPr>
      <w:r w:rsidRPr="00C5099B">
        <w:rPr>
          <w:bCs/>
        </w:rPr>
        <w:t>Herrin, Janice</w:t>
      </w:r>
    </w:p>
    <w:p w14:paraId="13F23B35" w14:textId="77777777" w:rsidR="00C5099B" w:rsidRPr="00C5099B" w:rsidRDefault="00C5099B" w:rsidP="00C5099B">
      <w:pPr>
        <w:tabs>
          <w:tab w:val="left" w:pos="2760"/>
        </w:tabs>
        <w:spacing w:after="0"/>
        <w:rPr>
          <w:bCs/>
        </w:rPr>
      </w:pPr>
      <w:r w:rsidRPr="00C5099B">
        <w:rPr>
          <w:bCs/>
        </w:rPr>
        <w:t>Holmes, Carolyn</w:t>
      </w:r>
    </w:p>
    <w:p w14:paraId="4ED617ED" w14:textId="77777777" w:rsidR="00C5099B" w:rsidRPr="00C5099B" w:rsidRDefault="00C5099B" w:rsidP="00C5099B">
      <w:pPr>
        <w:tabs>
          <w:tab w:val="left" w:pos="2760"/>
        </w:tabs>
        <w:spacing w:after="0"/>
        <w:rPr>
          <w:bCs/>
        </w:rPr>
      </w:pPr>
      <w:r w:rsidRPr="00C5099B">
        <w:rPr>
          <w:bCs/>
        </w:rPr>
        <w:t>Jessie Cardwell</w:t>
      </w:r>
    </w:p>
    <w:p w14:paraId="0660B75E" w14:textId="77777777" w:rsidR="00C5099B" w:rsidRPr="00C5099B" w:rsidRDefault="00C5099B" w:rsidP="00C5099B">
      <w:pPr>
        <w:tabs>
          <w:tab w:val="left" w:pos="2760"/>
        </w:tabs>
        <w:spacing w:after="0"/>
        <w:rPr>
          <w:bCs/>
        </w:rPr>
      </w:pPr>
      <w:r w:rsidRPr="00C5099B">
        <w:rPr>
          <w:bCs/>
        </w:rPr>
        <w:t>Jordan, Irene</w:t>
      </w:r>
    </w:p>
    <w:p w14:paraId="47674393" w14:textId="77777777" w:rsidR="00C5099B" w:rsidRPr="00C5099B" w:rsidRDefault="00C5099B" w:rsidP="00C5099B">
      <w:pPr>
        <w:tabs>
          <w:tab w:val="left" w:pos="2760"/>
        </w:tabs>
        <w:spacing w:after="0"/>
        <w:rPr>
          <w:bCs/>
        </w:rPr>
      </w:pPr>
      <w:r w:rsidRPr="00C5099B">
        <w:rPr>
          <w:bCs/>
        </w:rPr>
        <w:t>Kerns, Adeline</w:t>
      </w:r>
    </w:p>
    <w:p w14:paraId="5F98419B" w14:textId="77777777" w:rsidR="00C5099B" w:rsidRPr="00C5099B" w:rsidRDefault="00C5099B" w:rsidP="00C5099B">
      <w:pPr>
        <w:tabs>
          <w:tab w:val="left" w:pos="2760"/>
        </w:tabs>
        <w:spacing w:after="0"/>
        <w:rPr>
          <w:bCs/>
        </w:rPr>
      </w:pPr>
      <w:r w:rsidRPr="00C5099B">
        <w:rPr>
          <w:bCs/>
        </w:rPr>
        <w:t>Kluth, Crystina</w:t>
      </w:r>
    </w:p>
    <w:p w14:paraId="6F19C407" w14:textId="77777777" w:rsidR="00C5099B" w:rsidRPr="00C5099B" w:rsidRDefault="00C5099B" w:rsidP="00C5099B">
      <w:pPr>
        <w:tabs>
          <w:tab w:val="left" w:pos="2760"/>
        </w:tabs>
        <w:spacing w:after="0"/>
        <w:rPr>
          <w:bCs/>
        </w:rPr>
      </w:pPr>
      <w:r w:rsidRPr="00C5099B">
        <w:rPr>
          <w:bCs/>
        </w:rPr>
        <w:t>Lolade Fapohunda</w:t>
      </w:r>
    </w:p>
    <w:p w14:paraId="4A822FE3" w14:textId="77777777" w:rsidR="00C5099B" w:rsidRPr="00C5099B" w:rsidRDefault="00C5099B" w:rsidP="00C5099B">
      <w:pPr>
        <w:tabs>
          <w:tab w:val="left" w:pos="2760"/>
        </w:tabs>
        <w:spacing w:after="0"/>
        <w:rPr>
          <w:bCs/>
        </w:rPr>
      </w:pPr>
      <w:r w:rsidRPr="00C5099B">
        <w:rPr>
          <w:bCs/>
        </w:rPr>
        <w:t>Luci Bench</w:t>
      </w:r>
    </w:p>
    <w:p w14:paraId="7F73EE4E" w14:textId="77777777" w:rsidR="00C5099B" w:rsidRPr="00C5099B" w:rsidRDefault="00C5099B" w:rsidP="00C5099B">
      <w:pPr>
        <w:tabs>
          <w:tab w:val="left" w:pos="2760"/>
        </w:tabs>
        <w:spacing w:after="0"/>
        <w:rPr>
          <w:bCs/>
        </w:rPr>
      </w:pPr>
      <w:r w:rsidRPr="00C5099B">
        <w:rPr>
          <w:bCs/>
        </w:rPr>
        <w:t>Lux Dmitri</w:t>
      </w:r>
    </w:p>
    <w:p w14:paraId="1D8A142F" w14:textId="77777777" w:rsidR="00C5099B" w:rsidRPr="00C5099B" w:rsidRDefault="00C5099B" w:rsidP="00C5099B">
      <w:pPr>
        <w:tabs>
          <w:tab w:val="left" w:pos="2760"/>
        </w:tabs>
        <w:spacing w:after="0"/>
        <w:rPr>
          <w:bCs/>
        </w:rPr>
      </w:pPr>
      <w:r w:rsidRPr="00C5099B">
        <w:rPr>
          <w:bCs/>
        </w:rPr>
        <w:t>Mack, Donna</w:t>
      </w:r>
    </w:p>
    <w:p w14:paraId="55350DA3" w14:textId="77777777" w:rsidR="00C5099B" w:rsidRPr="00C5099B" w:rsidRDefault="00C5099B" w:rsidP="00C5099B">
      <w:pPr>
        <w:tabs>
          <w:tab w:val="left" w:pos="2760"/>
        </w:tabs>
        <w:spacing w:after="0"/>
        <w:rPr>
          <w:bCs/>
        </w:rPr>
      </w:pPr>
      <w:r w:rsidRPr="00C5099B">
        <w:rPr>
          <w:bCs/>
        </w:rPr>
        <w:t>Maidadi, Ismaila</w:t>
      </w:r>
    </w:p>
    <w:p w14:paraId="6F5919C0" w14:textId="77777777" w:rsidR="00C5099B" w:rsidRPr="00C5099B" w:rsidRDefault="00C5099B" w:rsidP="00C5099B">
      <w:pPr>
        <w:tabs>
          <w:tab w:val="left" w:pos="2760"/>
        </w:tabs>
        <w:spacing w:after="0"/>
        <w:rPr>
          <w:bCs/>
        </w:rPr>
      </w:pPr>
      <w:r w:rsidRPr="00C5099B">
        <w:rPr>
          <w:bCs/>
        </w:rPr>
        <w:t>Maricha Friedman</w:t>
      </w:r>
    </w:p>
    <w:p w14:paraId="483DDE66" w14:textId="77777777" w:rsidR="00C5099B" w:rsidRPr="00C5099B" w:rsidRDefault="00C5099B" w:rsidP="00C5099B">
      <w:pPr>
        <w:tabs>
          <w:tab w:val="left" w:pos="2760"/>
        </w:tabs>
        <w:spacing w:after="0"/>
        <w:rPr>
          <w:bCs/>
        </w:rPr>
      </w:pPr>
      <w:r w:rsidRPr="00C5099B">
        <w:rPr>
          <w:bCs/>
        </w:rPr>
        <w:t>Mark Chase</w:t>
      </w:r>
    </w:p>
    <w:p w14:paraId="0889CE71" w14:textId="77777777" w:rsidR="00C5099B" w:rsidRPr="00C5099B" w:rsidRDefault="00C5099B" w:rsidP="00C5099B">
      <w:pPr>
        <w:tabs>
          <w:tab w:val="left" w:pos="2760"/>
        </w:tabs>
        <w:spacing w:after="0"/>
        <w:rPr>
          <w:bCs/>
        </w:rPr>
      </w:pPr>
      <w:r w:rsidRPr="00C5099B">
        <w:rPr>
          <w:bCs/>
        </w:rPr>
        <w:t>Martin, Monique</w:t>
      </w:r>
    </w:p>
    <w:p w14:paraId="29C1814B" w14:textId="77777777" w:rsidR="00C5099B" w:rsidRPr="00C5099B" w:rsidRDefault="00C5099B" w:rsidP="00C5099B">
      <w:pPr>
        <w:tabs>
          <w:tab w:val="left" w:pos="2760"/>
        </w:tabs>
        <w:spacing w:after="0"/>
        <w:rPr>
          <w:bCs/>
        </w:rPr>
      </w:pPr>
      <w:r w:rsidRPr="00C5099B">
        <w:rPr>
          <w:bCs/>
        </w:rPr>
        <w:t>Maya Anderson</w:t>
      </w:r>
    </w:p>
    <w:p w14:paraId="7F89F595" w14:textId="77777777" w:rsidR="00C5099B" w:rsidRPr="00C5099B" w:rsidRDefault="00C5099B" w:rsidP="00C5099B">
      <w:pPr>
        <w:tabs>
          <w:tab w:val="left" w:pos="2760"/>
        </w:tabs>
        <w:spacing w:after="0"/>
        <w:rPr>
          <w:bCs/>
        </w:rPr>
      </w:pPr>
      <w:r w:rsidRPr="00C5099B">
        <w:rPr>
          <w:bCs/>
        </w:rPr>
        <w:t>Natalya</w:t>
      </w:r>
    </w:p>
    <w:p w14:paraId="6A9F3F13" w14:textId="77777777" w:rsidR="00C5099B" w:rsidRPr="00C5099B" w:rsidRDefault="00C5099B" w:rsidP="00C5099B">
      <w:pPr>
        <w:tabs>
          <w:tab w:val="left" w:pos="2760"/>
        </w:tabs>
        <w:spacing w:after="0"/>
        <w:rPr>
          <w:bCs/>
        </w:rPr>
      </w:pPr>
      <w:r w:rsidRPr="00C5099B">
        <w:rPr>
          <w:bCs/>
        </w:rPr>
        <w:t>Ni Dufaigh, T. Jaide</w:t>
      </w:r>
    </w:p>
    <w:p w14:paraId="7A43B61B" w14:textId="77777777" w:rsidR="00C5099B" w:rsidRPr="00C5099B" w:rsidRDefault="00C5099B" w:rsidP="00C5099B">
      <w:pPr>
        <w:tabs>
          <w:tab w:val="left" w:pos="2760"/>
        </w:tabs>
        <w:spacing w:after="0"/>
        <w:rPr>
          <w:bCs/>
        </w:rPr>
      </w:pPr>
      <w:r w:rsidRPr="00C5099B">
        <w:rPr>
          <w:bCs/>
        </w:rPr>
        <w:t>Pelot, Paul</w:t>
      </w:r>
    </w:p>
    <w:p w14:paraId="12AE33D4" w14:textId="77777777" w:rsidR="00C5099B" w:rsidRPr="00C5099B" w:rsidRDefault="00C5099B" w:rsidP="00C5099B">
      <w:pPr>
        <w:tabs>
          <w:tab w:val="left" w:pos="2760"/>
        </w:tabs>
        <w:spacing w:after="0"/>
        <w:rPr>
          <w:bCs/>
        </w:rPr>
      </w:pPr>
      <w:r w:rsidRPr="00C5099B">
        <w:rPr>
          <w:bCs/>
        </w:rPr>
        <w:t>Pochi</w:t>
      </w:r>
    </w:p>
    <w:p w14:paraId="400715F8" w14:textId="77777777" w:rsidR="00C5099B" w:rsidRPr="00C5099B" w:rsidRDefault="00C5099B" w:rsidP="00C5099B">
      <w:pPr>
        <w:tabs>
          <w:tab w:val="left" w:pos="2760"/>
        </w:tabs>
        <w:spacing w:after="0"/>
        <w:rPr>
          <w:bCs/>
        </w:rPr>
      </w:pPr>
      <w:r w:rsidRPr="00C5099B">
        <w:rPr>
          <w:bCs/>
        </w:rPr>
        <w:t>Robinson, Melissa</w:t>
      </w:r>
    </w:p>
    <w:p w14:paraId="6AE2AFA5" w14:textId="77777777" w:rsidR="00C5099B" w:rsidRPr="00C5099B" w:rsidRDefault="00C5099B" w:rsidP="00C5099B">
      <w:pPr>
        <w:tabs>
          <w:tab w:val="left" w:pos="2760"/>
        </w:tabs>
        <w:spacing w:after="0"/>
        <w:rPr>
          <w:bCs/>
        </w:rPr>
      </w:pPr>
      <w:r w:rsidRPr="00C5099B">
        <w:rPr>
          <w:bCs/>
        </w:rPr>
        <w:t>Smith, Jasmine</w:t>
      </w:r>
    </w:p>
    <w:p w14:paraId="15794401" w14:textId="77777777" w:rsidR="00C5099B" w:rsidRPr="00C5099B" w:rsidRDefault="00C5099B" w:rsidP="00C5099B">
      <w:pPr>
        <w:tabs>
          <w:tab w:val="left" w:pos="2760"/>
        </w:tabs>
        <w:spacing w:after="0"/>
        <w:rPr>
          <w:bCs/>
        </w:rPr>
      </w:pPr>
      <w:r w:rsidRPr="00C5099B">
        <w:rPr>
          <w:bCs/>
        </w:rPr>
        <w:t>Sparks, Teresa</w:t>
      </w:r>
    </w:p>
    <w:p w14:paraId="6832A5F7" w14:textId="77777777" w:rsidR="00C5099B" w:rsidRPr="00C5099B" w:rsidRDefault="00C5099B" w:rsidP="00C5099B">
      <w:pPr>
        <w:tabs>
          <w:tab w:val="left" w:pos="2760"/>
        </w:tabs>
        <w:spacing w:after="0"/>
        <w:rPr>
          <w:bCs/>
        </w:rPr>
      </w:pPr>
      <w:r w:rsidRPr="00C5099B">
        <w:rPr>
          <w:bCs/>
        </w:rPr>
        <w:t>Sue Keltner</w:t>
      </w:r>
    </w:p>
    <w:p w14:paraId="7A15D922" w14:textId="77777777" w:rsidR="00C5099B" w:rsidRPr="00C5099B" w:rsidRDefault="00C5099B" w:rsidP="00C5099B">
      <w:pPr>
        <w:tabs>
          <w:tab w:val="left" w:pos="2760"/>
        </w:tabs>
        <w:spacing w:after="0"/>
        <w:rPr>
          <w:bCs/>
        </w:rPr>
      </w:pPr>
      <w:r w:rsidRPr="00C5099B">
        <w:rPr>
          <w:bCs/>
        </w:rPr>
        <w:t>Susan Gustafson</w:t>
      </w:r>
    </w:p>
    <w:p w14:paraId="3337D67A" w14:textId="77777777" w:rsidR="00C5099B" w:rsidRPr="00C5099B" w:rsidRDefault="00C5099B" w:rsidP="00C5099B">
      <w:pPr>
        <w:tabs>
          <w:tab w:val="left" w:pos="2760"/>
        </w:tabs>
        <w:spacing w:after="0"/>
        <w:rPr>
          <w:bCs/>
        </w:rPr>
      </w:pPr>
      <w:r w:rsidRPr="00C5099B">
        <w:rPr>
          <w:bCs/>
        </w:rPr>
        <w:t>Tamara Toles</w:t>
      </w:r>
    </w:p>
    <w:p w14:paraId="002BDA2B" w14:textId="77777777" w:rsidR="00C5099B" w:rsidRPr="00C5099B" w:rsidRDefault="00C5099B" w:rsidP="00C5099B">
      <w:pPr>
        <w:tabs>
          <w:tab w:val="left" w:pos="2760"/>
        </w:tabs>
        <w:spacing w:after="0"/>
        <w:rPr>
          <w:bCs/>
        </w:rPr>
      </w:pPr>
      <w:r w:rsidRPr="00C5099B">
        <w:rPr>
          <w:bCs/>
        </w:rPr>
        <w:t>Teresa Anda</w:t>
      </w:r>
    </w:p>
    <w:p w14:paraId="2D5D60EA" w14:textId="77777777" w:rsidR="00C5099B" w:rsidRPr="00C5099B" w:rsidRDefault="00C5099B" w:rsidP="00C5099B">
      <w:pPr>
        <w:tabs>
          <w:tab w:val="left" w:pos="2760"/>
        </w:tabs>
        <w:spacing w:after="0"/>
        <w:rPr>
          <w:bCs/>
        </w:rPr>
      </w:pPr>
      <w:r w:rsidRPr="00C5099B">
        <w:rPr>
          <w:bCs/>
        </w:rPr>
        <w:t>Tina Newcomer</w:t>
      </w:r>
    </w:p>
    <w:p w14:paraId="725BBAD0" w14:textId="77777777" w:rsidR="00C5099B" w:rsidRPr="00C5099B" w:rsidRDefault="00C5099B" w:rsidP="00C5099B">
      <w:pPr>
        <w:tabs>
          <w:tab w:val="left" w:pos="2760"/>
        </w:tabs>
        <w:spacing w:after="0"/>
        <w:rPr>
          <w:bCs/>
        </w:rPr>
      </w:pPr>
      <w:r w:rsidRPr="00C5099B">
        <w:rPr>
          <w:bCs/>
        </w:rPr>
        <w:t>Tracy Ferrell</w:t>
      </w:r>
    </w:p>
    <w:p w14:paraId="0B5C3EC6" w14:textId="441AA291" w:rsidR="00632BF8" w:rsidRPr="003C078C" w:rsidRDefault="00C5099B" w:rsidP="00C5099B">
      <w:pPr>
        <w:tabs>
          <w:tab w:val="left" w:pos="2760"/>
        </w:tabs>
        <w:spacing w:after="0"/>
        <w:rPr>
          <w:bCs/>
        </w:rPr>
      </w:pPr>
      <w:r w:rsidRPr="00C5099B">
        <w:rPr>
          <w:bCs/>
        </w:rPr>
        <w:t>Zander</w:t>
      </w: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2"/>
  </w:num>
  <w:num w:numId="2">
    <w:abstractNumId w:val="21"/>
  </w:num>
  <w:num w:numId="3">
    <w:abstractNumId w:val="0"/>
  </w:num>
  <w:num w:numId="4">
    <w:abstractNumId w:val="31"/>
  </w:num>
  <w:num w:numId="5">
    <w:abstractNumId w:val="33"/>
  </w:num>
  <w:num w:numId="6">
    <w:abstractNumId w:val="30"/>
  </w:num>
  <w:num w:numId="7">
    <w:abstractNumId w:val="4"/>
  </w:num>
  <w:num w:numId="8">
    <w:abstractNumId w:val="41"/>
  </w:num>
  <w:num w:numId="9">
    <w:abstractNumId w:val="13"/>
  </w:num>
  <w:num w:numId="10">
    <w:abstractNumId w:val="20"/>
  </w:num>
  <w:num w:numId="11">
    <w:abstractNumId w:val="9"/>
  </w:num>
  <w:num w:numId="12">
    <w:abstractNumId w:val="1"/>
  </w:num>
  <w:num w:numId="13">
    <w:abstractNumId w:val="39"/>
  </w:num>
  <w:num w:numId="14">
    <w:abstractNumId w:val="36"/>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3"/>
  </w:num>
  <w:num w:numId="26">
    <w:abstractNumId w:val="7"/>
  </w:num>
  <w:num w:numId="27">
    <w:abstractNumId w:val="27"/>
  </w:num>
  <w:num w:numId="28">
    <w:abstractNumId w:val="37"/>
  </w:num>
  <w:num w:numId="29">
    <w:abstractNumId w:val="15"/>
  </w:num>
  <w:num w:numId="30">
    <w:abstractNumId w:val="28"/>
  </w:num>
  <w:num w:numId="31">
    <w:abstractNumId w:val="38"/>
  </w:num>
  <w:num w:numId="32">
    <w:abstractNumId w:val="8"/>
  </w:num>
  <w:num w:numId="33">
    <w:abstractNumId w:val="40"/>
  </w:num>
  <w:num w:numId="34">
    <w:abstractNumId w:val="14"/>
  </w:num>
  <w:num w:numId="35">
    <w:abstractNumId w:val="35"/>
  </w:num>
  <w:num w:numId="36">
    <w:abstractNumId w:val="17"/>
  </w:num>
  <w:num w:numId="37">
    <w:abstractNumId w:val="11"/>
  </w:num>
  <w:num w:numId="38">
    <w:abstractNumId w:val="3"/>
  </w:num>
  <w:num w:numId="39">
    <w:abstractNumId w:val="34"/>
  </w:num>
  <w:num w:numId="40">
    <w:abstractNumId w:val="33"/>
  </w:num>
  <w:num w:numId="41">
    <w:abstractNumId w:val="10"/>
  </w:num>
  <w:num w:numId="42">
    <w:abstractNumId w:val="5"/>
  </w:num>
  <w:num w:numId="43">
    <w:abstractNumId w:val="16"/>
  </w:num>
  <w:num w:numId="44">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5316"/>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CC"/>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50BEB"/>
    <w:rsid w:val="00B5163D"/>
    <w:rsid w:val="00B529DE"/>
    <w:rsid w:val="00B52C28"/>
    <w:rsid w:val="00B53865"/>
    <w:rsid w:val="00B55067"/>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64A3"/>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478D"/>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0E9C"/>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ETO-refresher-training" TargetMode="External"/><Relationship Id="rId18" Type="http://schemas.openxmlformats.org/officeDocument/2006/relationships/hyperlink" Target="mailto:ESDDLITBITechnicalSolutions@ESD.WA.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youtube.com/watch?v=Mk0VMAmPclg" TargetMode="External"/><Relationship Id="rId7" Type="http://schemas.openxmlformats.org/officeDocument/2006/relationships/settings" Target="settings.xml"/><Relationship Id="rId12" Type="http://schemas.openxmlformats.org/officeDocument/2006/relationships/hyperlink" Target="https://storemultisites.blob.core.windows.net/media/WPC/tech/staff-resources/ETO-report-pop-up-blocker.docx" TargetMode="External"/><Relationship Id="rId17" Type="http://schemas.openxmlformats.org/officeDocument/2006/relationships/hyperlink" Target="https://wpc.wa.gov/tech/issues" TargetMode="External"/><Relationship Id="rId25" Type="http://schemas.openxmlformats.org/officeDocument/2006/relationships/hyperlink" Target="https://wpc.wa.gov/wswa/wit-replacement-project"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storemultisites.blob.core.windows.net/media/WPC/tech/staff-resources/Checklist_of_things_to_try_before_submitting_a_service_ticket_or_call_the_help_desk_1-11-22.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pc.wa.gov/wswa/wit-replacement-project" TargetMode="External"/><Relationship Id="rId24" Type="http://schemas.openxmlformats.org/officeDocument/2006/relationships/hyperlink" Target="https://esd.wa.gov/" TargetMode="External"/><Relationship Id="rId5" Type="http://schemas.openxmlformats.org/officeDocument/2006/relationships/numbering" Target="numbering.xml"/><Relationship Id="rId15" Type="http://schemas.openxmlformats.org/officeDocument/2006/relationships/hyperlink" Target="https://www.atg.wa.gov/" TargetMode="External"/><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mailto:esdgpwssteam@esd.wa.gov"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atg.wa.gov/search/node/employment%20scams"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13EF463C-08A3-43D2-A7E7-A6DA9A9CA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2</cp:revision>
  <dcterms:created xsi:type="dcterms:W3CDTF">2022-05-18T21:49:00Z</dcterms:created>
  <dcterms:modified xsi:type="dcterms:W3CDTF">2022-05-18T21:49:00Z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