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4D61CAB9"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3C2948">
        <w:rPr>
          <w:b/>
          <w:sz w:val="28"/>
          <w:szCs w:val="28"/>
          <w:u w:val="single"/>
        </w:rPr>
        <w:t>Minutes</w:t>
      </w:r>
      <w:r w:rsidR="00910688">
        <w:rPr>
          <w:b/>
          <w:sz w:val="28"/>
          <w:szCs w:val="28"/>
          <w:u w:val="single"/>
        </w:rPr>
        <w:t xml:space="preserve"> 4-</w:t>
      </w:r>
      <w:r w:rsidR="00DD01B6">
        <w:rPr>
          <w:b/>
          <w:sz w:val="28"/>
          <w:szCs w:val="28"/>
          <w:u w:val="single"/>
        </w:rPr>
        <w:t>28</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388F797A" w:rsidR="003816DB" w:rsidRDefault="003816DB" w:rsidP="00486552">
      <w:pPr>
        <w:spacing w:after="0"/>
        <w:jc w:val="center"/>
        <w:rPr>
          <w:rFonts w:eastAsia="Times New Roman"/>
          <w:b/>
          <w:sz w:val="28"/>
          <w:szCs w:val="28"/>
        </w:rPr>
      </w:pPr>
      <w:r>
        <w:rPr>
          <w:rFonts w:eastAsia="Times New Roman"/>
          <w:b/>
          <w:sz w:val="28"/>
          <w:szCs w:val="28"/>
        </w:rPr>
        <w:t>These meeting will be recorded. Recordings will be 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24449F6" w14:textId="7B9F09EF" w:rsidR="00C644D5" w:rsidRPr="00A213B4" w:rsidRDefault="00C644D5" w:rsidP="00C644D5">
      <w:pPr>
        <w:pStyle w:val="ListParagraph"/>
        <w:numPr>
          <w:ilvl w:val="0"/>
          <w:numId w:val="1"/>
        </w:numPr>
        <w:rPr>
          <w:i/>
          <w:iCs/>
        </w:rPr>
      </w:pPr>
      <w:r>
        <w:t xml:space="preserve">Public -use equipment training </w:t>
      </w:r>
      <w:r w:rsidR="00907916">
        <w:t>began</w:t>
      </w:r>
      <w:r>
        <w:t xml:space="preserve"> on 4/19/21 through 5/13/21. </w:t>
      </w:r>
      <w:r w:rsidR="00907916">
        <w:t xml:space="preserve">I increased the session capacity and all sessions have room for more attendees. </w:t>
      </w:r>
      <w:r>
        <w:t xml:space="preserve">If you can’t attend a live session the training material is posted on the WPC site. </w:t>
      </w:r>
      <w:r w:rsidR="00907916">
        <w:t>Videos</w:t>
      </w:r>
      <w:r>
        <w:t xml:space="preserve"> of the training will be posted soon. </w:t>
      </w:r>
      <w:r w:rsidRPr="00A213B4">
        <w:rPr>
          <w:i/>
          <w:iCs/>
        </w:rPr>
        <w:t xml:space="preserve">Sign-up on the </w:t>
      </w:r>
      <w:hyperlink r:id="rId10" w:history="1">
        <w:r w:rsidRPr="002B5D68">
          <w:rPr>
            <w:rStyle w:val="Hyperlink"/>
            <w:i/>
            <w:iCs/>
          </w:rPr>
          <w:t>Staff Development Calendar</w:t>
        </w:r>
      </w:hyperlink>
      <w:r>
        <w:rPr>
          <w:i/>
          <w:iCs/>
        </w:rPr>
        <w:t xml:space="preserve"> or type this into your browser </w:t>
      </w:r>
      <w:r w:rsidRPr="00910688">
        <w:rPr>
          <w:i/>
          <w:iCs/>
        </w:rPr>
        <w:t>https://wpc.wa.gov/tech/staff/trainingcalendar</w:t>
      </w:r>
    </w:p>
    <w:p w14:paraId="440324A6" w14:textId="04208DCD" w:rsidR="0022740B" w:rsidRDefault="006F491F" w:rsidP="00B353D4">
      <w:pPr>
        <w:pStyle w:val="ListParagraph"/>
        <w:numPr>
          <w:ilvl w:val="0"/>
          <w:numId w:val="1"/>
        </w:numPr>
        <w:spacing w:after="0"/>
      </w:pPr>
      <w:r>
        <w:t>Tickets into production –</w:t>
      </w:r>
      <w:r w:rsidR="00201D05">
        <w:t xml:space="preserve"> </w:t>
      </w:r>
      <w:r w:rsidR="001D53EE">
        <w:t xml:space="preserve">went live on </w:t>
      </w:r>
      <w:r w:rsidR="00907916">
        <w:t>4/14/21</w:t>
      </w:r>
    </w:p>
    <w:p w14:paraId="27CCB7D4" w14:textId="6A0B2B08" w:rsidR="0022740B" w:rsidRDefault="0022740B" w:rsidP="0022740B">
      <w:pPr>
        <w:pStyle w:val="ListParagraph"/>
        <w:numPr>
          <w:ilvl w:val="1"/>
          <w:numId w:val="1"/>
        </w:numPr>
        <w:spacing w:after="0"/>
      </w:pPr>
      <w:r>
        <w:t xml:space="preserve">WA-4113 new follow-up </w:t>
      </w:r>
      <w:r w:rsidR="00907916">
        <w:t>service.</w:t>
      </w:r>
      <w:r>
        <w:t xml:space="preserve"> </w:t>
      </w:r>
    </w:p>
    <w:p w14:paraId="07890656" w14:textId="77777777" w:rsidR="003E3CD2" w:rsidRDefault="003E3CD2" w:rsidP="003E3CD2">
      <w:pPr>
        <w:pStyle w:val="ListParagraph"/>
        <w:numPr>
          <w:ilvl w:val="2"/>
          <w:numId w:val="1"/>
        </w:numPr>
      </w:pPr>
      <w:r w:rsidRPr="003E3CD2">
        <w:rPr>
          <w:rFonts w:ascii="Arial" w:hAnsi="Arial" w:cs="Arial"/>
        </w:rPr>
        <w:t>This new service includes changes to:</w:t>
      </w:r>
      <w:r>
        <w:t xml:space="preserve"> </w:t>
      </w:r>
    </w:p>
    <w:p w14:paraId="2EC4B91B" w14:textId="77777777" w:rsidR="003E3CD2" w:rsidRPr="003E3CD2" w:rsidRDefault="003E3CD2" w:rsidP="003E3CD2">
      <w:pPr>
        <w:pStyle w:val="ListParagraph"/>
        <w:numPr>
          <w:ilvl w:val="2"/>
          <w:numId w:val="1"/>
        </w:numPr>
        <w:rPr>
          <w:rFonts w:ascii="Arial" w:hAnsi="Arial" w:cs="Arial"/>
        </w:rPr>
      </w:pPr>
      <w:r w:rsidRPr="003E3CD2">
        <w:rPr>
          <w:rFonts w:ascii="Arial" w:hAnsi="Arial" w:cs="Arial"/>
        </w:rPr>
        <w:t xml:space="preserve">Policy: 5602 Revision 3, Supportive Services and Needs-Related Payments  </w:t>
      </w:r>
    </w:p>
    <w:p w14:paraId="4BFE0C90" w14:textId="77777777" w:rsidR="003E3CD2" w:rsidRPr="003E3CD2" w:rsidRDefault="003E3CD2" w:rsidP="003E3CD2">
      <w:pPr>
        <w:pStyle w:val="ListParagraph"/>
        <w:numPr>
          <w:ilvl w:val="2"/>
          <w:numId w:val="1"/>
        </w:numPr>
        <w:rPr>
          <w:rFonts w:ascii="Arial" w:hAnsi="Arial" w:cs="Arial"/>
        </w:rPr>
      </w:pPr>
      <w:r w:rsidRPr="003E3CD2">
        <w:rPr>
          <w:rFonts w:ascii="Arial" w:hAnsi="Arial" w:cs="Arial"/>
        </w:rPr>
        <w:t xml:space="preserve">Policy: 5620 Revision 1, Follow-up Services for Adults and Dislocated Workers </w:t>
      </w:r>
    </w:p>
    <w:p w14:paraId="6C34BC4A" w14:textId="77777777" w:rsidR="003E3CD2" w:rsidRPr="003E3CD2" w:rsidRDefault="003E3CD2" w:rsidP="003E3CD2">
      <w:pPr>
        <w:pStyle w:val="ListParagraph"/>
        <w:numPr>
          <w:ilvl w:val="2"/>
          <w:numId w:val="1"/>
        </w:numPr>
        <w:rPr>
          <w:rFonts w:ascii="Arial" w:hAnsi="Arial" w:cs="Arial"/>
        </w:rPr>
      </w:pPr>
      <w:r w:rsidRPr="003E3CD2">
        <w:rPr>
          <w:rFonts w:ascii="Arial" w:hAnsi="Arial" w:cs="Arial"/>
        </w:rPr>
        <w:t>WIN Number: 0077 Change 10, WorkSource Services Catalog</w:t>
      </w:r>
    </w:p>
    <w:p w14:paraId="1E5D61E9" w14:textId="7BBEDDF5" w:rsidR="00477B03" w:rsidRDefault="00477B03" w:rsidP="00477B03">
      <w:pPr>
        <w:pStyle w:val="ListParagraph"/>
        <w:spacing w:after="0"/>
        <w:ind w:left="2160"/>
      </w:pPr>
      <w:r>
        <w:rPr>
          <w:noProof/>
        </w:rPr>
        <w:drawing>
          <wp:inline distT="0" distB="0" distL="0" distR="0" wp14:anchorId="5E0CB2DC" wp14:editId="7B7057F1">
            <wp:extent cx="4435522" cy="12464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0992" cy="1253621"/>
                    </a:xfrm>
                    <a:prstGeom prst="rect">
                      <a:avLst/>
                    </a:prstGeom>
                  </pic:spPr>
                </pic:pic>
              </a:graphicData>
            </a:graphic>
          </wp:inline>
        </w:drawing>
      </w:r>
    </w:p>
    <w:p w14:paraId="303006FE" w14:textId="06E0EB8B"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C304CC">
        <w:t>nothing this week</w:t>
      </w:r>
    </w:p>
    <w:bookmarkEnd w:id="0"/>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nothing</w:t>
      </w:r>
      <w:r w:rsidR="00C304CC">
        <w:t xml:space="preserve"> </w:t>
      </w:r>
      <w:r w:rsidR="009A4080">
        <w:t>this week</w:t>
      </w:r>
      <w:bookmarkEnd w:id="1"/>
      <w:r w:rsidR="009F6DA8">
        <w:t xml:space="preserve"> </w:t>
      </w:r>
    </w:p>
    <w:p w14:paraId="060FAFB1" w14:textId="3A58A6A4"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 </w:t>
      </w:r>
      <w:r w:rsidR="00C63795" w:rsidRPr="00C63795">
        <w:rPr>
          <w:rFonts w:cstheme="minorHAnsi"/>
          <w:color w:val="414141"/>
        </w:rPr>
        <w:t xml:space="preserve">The Velaro Product Team will be performing maintenance activity on Friday, April 30, at </w:t>
      </w:r>
      <w:r w:rsidR="007E4431">
        <w:rPr>
          <w:rFonts w:cstheme="minorHAnsi"/>
          <w:color w:val="414141"/>
        </w:rPr>
        <w:t>3</w:t>
      </w:r>
      <w:r w:rsidR="00C63795" w:rsidRPr="00C63795">
        <w:rPr>
          <w:rFonts w:cstheme="minorHAnsi"/>
          <w:color w:val="414141"/>
        </w:rPr>
        <w:t xml:space="preserve">:30:00 AM </w:t>
      </w:r>
      <w:r w:rsidR="007E4431">
        <w:rPr>
          <w:rFonts w:cstheme="minorHAnsi"/>
          <w:color w:val="414141"/>
        </w:rPr>
        <w:t>P</w:t>
      </w:r>
      <w:r w:rsidR="00C63795" w:rsidRPr="00C63795">
        <w:rPr>
          <w:rFonts w:cstheme="minorHAnsi"/>
          <w:color w:val="414141"/>
        </w:rPr>
        <w:t>T, the estimated duration is 1 hour. We do not expect any impact to your service, yet in some cases, there may be a brief interruption.</w:t>
      </w:r>
    </w:p>
    <w:p w14:paraId="27D64AB3" w14:textId="6C7FFD80"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C63795">
        <w:rPr>
          <w:color w:val="FF0000"/>
        </w:rPr>
        <w:t>5/3</w:t>
      </w:r>
      <w:r w:rsidR="00584EE6" w:rsidRPr="0071073F">
        <w:rPr>
          <w:color w:val="FF0000"/>
        </w:rPr>
        <w:t xml:space="preserve">/21 </w:t>
      </w:r>
      <w:r w:rsidR="0072606F" w:rsidRPr="0071073F">
        <w:rPr>
          <w:color w:val="FF0000"/>
        </w:rPr>
        <w:t xml:space="preserve"> </w:t>
      </w:r>
      <w:r w:rsidR="00C63795">
        <w:rPr>
          <w:color w:val="FF0000"/>
        </w:rPr>
        <w:t>9:30-</w:t>
      </w:r>
      <w:r w:rsidR="003E3CD2">
        <w:rPr>
          <w:color w:val="FF0000"/>
        </w:rPr>
        <w:t>11:50A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6A332F32" w:rsidR="008E7F32" w:rsidRDefault="00DC60F5" w:rsidP="00DC60F5">
      <w:pPr>
        <w:pStyle w:val="ListParagraph"/>
        <w:numPr>
          <w:ilvl w:val="0"/>
          <w:numId w:val="1"/>
        </w:numPr>
      </w:pPr>
      <w:r>
        <w:t>What’s new on WPC</w:t>
      </w:r>
      <w:r w:rsidR="00A03443">
        <w:t xml:space="preserve"> – </w:t>
      </w:r>
      <w:r w:rsidR="00C76C99">
        <w:t xml:space="preserve"> </w:t>
      </w:r>
    </w:p>
    <w:p w14:paraId="39537252" w14:textId="12B27662" w:rsidR="00C304CC" w:rsidRDefault="009718D7" w:rsidP="002B5D68">
      <w:pPr>
        <w:pStyle w:val="ListParagraph"/>
        <w:numPr>
          <w:ilvl w:val="1"/>
          <w:numId w:val="1"/>
        </w:numPr>
      </w:pPr>
      <w:r>
        <w:t xml:space="preserve">Project updates: </w:t>
      </w:r>
      <w:hyperlink r:id="rId13" w:history="1">
        <w:r w:rsidR="00C304CC" w:rsidRPr="003C4B58">
          <w:rPr>
            <w:rStyle w:val="Hyperlink"/>
          </w:rPr>
          <w:t>Create an ETO Record</w:t>
        </w:r>
      </w:hyperlink>
    </w:p>
    <w:p w14:paraId="475DBC30" w14:textId="14F391D8" w:rsidR="002B5D68" w:rsidRDefault="002B5D68" w:rsidP="002B5D68">
      <w:pPr>
        <w:pStyle w:val="ListParagraph"/>
        <w:numPr>
          <w:ilvl w:val="1"/>
          <w:numId w:val="1"/>
        </w:numPr>
      </w:pPr>
      <w:r>
        <w:t>New content for WS resource and training room training material</w:t>
      </w:r>
      <w:r w:rsidR="003C4B58">
        <w:t xml:space="preserve"> </w:t>
      </w:r>
      <w:hyperlink r:id="rId14" w:history="1">
        <w:r w:rsidR="003C4B58" w:rsidRPr="003C4B58">
          <w:rPr>
            <w:rStyle w:val="Hyperlink"/>
          </w:rPr>
          <w:t>here</w:t>
        </w:r>
      </w:hyperlink>
    </w:p>
    <w:p w14:paraId="0F74855A" w14:textId="064F76C1" w:rsidR="001E00C3" w:rsidRDefault="001E00C3" w:rsidP="002B5D68">
      <w:pPr>
        <w:pStyle w:val="ListParagraph"/>
        <w:numPr>
          <w:ilvl w:val="1"/>
          <w:numId w:val="1"/>
        </w:numPr>
      </w:pPr>
      <w:r>
        <w:t xml:space="preserve">Review </w:t>
      </w:r>
      <w:r w:rsidR="003C4B58">
        <w:t>S</w:t>
      </w:r>
      <w:r>
        <w:t xml:space="preserve">taff Efforts </w:t>
      </w:r>
      <w:hyperlink r:id="rId15" w:history="1">
        <w:r w:rsidRPr="003C4B58">
          <w:rPr>
            <w:rStyle w:val="Hyperlink"/>
          </w:rPr>
          <w:t>desk aid</w:t>
        </w:r>
      </w:hyperlink>
      <w:r w:rsidR="003C4B58">
        <w:t xml:space="preserve"> </w:t>
      </w:r>
    </w:p>
    <w:p w14:paraId="5A2491C2" w14:textId="489B0406" w:rsidR="00B62556" w:rsidRDefault="00B62556" w:rsidP="002B5D68">
      <w:pPr>
        <w:pStyle w:val="ListParagraph"/>
        <w:numPr>
          <w:ilvl w:val="1"/>
          <w:numId w:val="1"/>
        </w:numPr>
      </w:pPr>
      <w:r>
        <w:t>Reports</w:t>
      </w:r>
    </w:p>
    <w:p w14:paraId="7DF6445A" w14:textId="712D5B3E" w:rsidR="00B721E4" w:rsidRDefault="00B721E4" w:rsidP="00B721E4">
      <w:pPr>
        <w:pStyle w:val="ListParagraph"/>
        <w:numPr>
          <w:ilvl w:val="2"/>
          <w:numId w:val="1"/>
        </w:numPr>
      </w:pPr>
      <w:r>
        <w:t>Program Enrollment Outcomes – Added ‘Is Opted-Out’ column and removed ‘S</w:t>
      </w:r>
      <w:r w:rsidR="00E512FB">
        <w:t>K</w:t>
      </w:r>
      <w:r>
        <w:t>IES Seeker ID’ column</w:t>
      </w:r>
    </w:p>
    <w:p w14:paraId="0E535541" w14:textId="40976A87" w:rsidR="00D70C80" w:rsidRDefault="00D70C80" w:rsidP="00D70C80">
      <w:pPr>
        <w:pStyle w:val="ListParagraph"/>
        <w:numPr>
          <w:ilvl w:val="0"/>
          <w:numId w:val="35"/>
        </w:numPr>
      </w:pPr>
      <w:r>
        <w:t>Open discussion – training issues</w:t>
      </w:r>
    </w:p>
    <w:p w14:paraId="0A4309A4" w14:textId="74927423" w:rsidR="00CB0650" w:rsidRDefault="00C938F0" w:rsidP="0090541E">
      <w:pPr>
        <w:pStyle w:val="ListParagraph"/>
        <w:numPr>
          <w:ilvl w:val="0"/>
          <w:numId w:val="35"/>
        </w:numPr>
      </w:pPr>
      <w:r>
        <w:rPr>
          <w:b/>
          <w:bCs/>
          <w:i/>
          <w:iCs/>
        </w:rPr>
        <w:lastRenderedPageBreak/>
        <w:t>R</w:t>
      </w:r>
      <w:r w:rsidR="00CB0650" w:rsidRPr="0090541E">
        <w:rPr>
          <w:b/>
          <w:bCs/>
          <w:i/>
          <w:iCs/>
        </w:rPr>
        <w:t>eminder:</w:t>
      </w:r>
      <w:r w:rsidR="00CB0650">
        <w:t xml:space="preserve"> Submit remedy tickets for all work requests</w:t>
      </w:r>
      <w:r w:rsidR="006225DF">
        <w:t xml:space="preserve"> </w:t>
      </w:r>
      <w:hyperlink r:id="rId16"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5B1A5627" w:rsidR="000B0D77" w:rsidRPr="00F25AA5"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010D641E" w14:textId="77777777" w:rsidR="009E26AE" w:rsidRPr="009E26AE" w:rsidRDefault="009E26AE" w:rsidP="009E26AE">
      <w:pPr>
        <w:pStyle w:val="NormalWeb"/>
        <w:spacing w:before="0" w:beforeAutospacing="0" w:after="150" w:afterAutospacing="0"/>
        <w:rPr>
          <w:rFonts w:asciiTheme="minorHAnsi" w:hAnsiTheme="minorHAnsi" w:cstheme="minorHAnsi"/>
          <w:sz w:val="22"/>
          <w:szCs w:val="22"/>
        </w:rPr>
      </w:pPr>
      <w:r w:rsidRPr="009E26AE">
        <w:rPr>
          <w:rStyle w:val="Strong"/>
          <w:rFonts w:asciiTheme="minorHAnsi" w:hAnsiTheme="minorHAnsi" w:cstheme="minorHAnsi"/>
          <w:sz w:val="22"/>
          <w:szCs w:val="22"/>
        </w:rPr>
        <w:t>OLYMPIA –</w:t>
      </w:r>
      <w:r w:rsidRPr="009E26AE">
        <w:rPr>
          <w:rFonts w:asciiTheme="minorHAnsi" w:hAnsiTheme="minorHAnsi" w:cstheme="minorHAnsi"/>
          <w:sz w:val="22"/>
          <w:szCs w:val="22"/>
        </w:rPr>
        <w:t> During the week of April 18 – April 24, there were 11,629 initial regular unemployment claims (down 12.0 percent from the prior week) and 408,001 total claims for all unemployment benefit categories (down 1.5 percent from the prior week) filed by Washingtonians, according to the Employment Security Department (ESD).  </w:t>
      </w:r>
    </w:p>
    <w:p w14:paraId="79C677FC" w14:textId="77777777" w:rsidR="009E26AE" w:rsidRPr="009E26AE" w:rsidRDefault="009E26AE" w:rsidP="009E26AE">
      <w:pPr>
        <w:numPr>
          <w:ilvl w:val="0"/>
          <w:numId w:val="44"/>
        </w:numPr>
        <w:spacing w:after="105" w:line="240" w:lineRule="auto"/>
        <w:rPr>
          <w:rFonts w:eastAsia="Times New Roman" w:cstheme="minorHAnsi"/>
        </w:rPr>
      </w:pPr>
      <w:r w:rsidRPr="009E26AE">
        <w:rPr>
          <w:rFonts w:eastAsia="Times New Roman" w:cstheme="minorHAnsi"/>
        </w:rPr>
        <w:t>Initial regular claims applications are now 91 percent below weekly new claims applications during the same period last year during the pandemic.</w:t>
      </w:r>
    </w:p>
    <w:p w14:paraId="4DF5FB61" w14:textId="77777777" w:rsidR="009E26AE" w:rsidRPr="009E26AE" w:rsidRDefault="009E26AE" w:rsidP="009E26AE">
      <w:pPr>
        <w:numPr>
          <w:ilvl w:val="0"/>
          <w:numId w:val="44"/>
        </w:numPr>
        <w:spacing w:after="105" w:line="240" w:lineRule="auto"/>
        <w:rPr>
          <w:rFonts w:eastAsia="Times New Roman" w:cstheme="minorHAnsi"/>
        </w:rPr>
      </w:pPr>
      <w:r w:rsidRPr="009E26AE">
        <w:rPr>
          <w:rFonts w:eastAsia="Times New Roman" w:cstheme="minorHAnsi"/>
        </w:rPr>
        <w:t>The 4-week moving average for initial claims remain elevated at 13,497 (as compared to the 4-week moving average of initial claims pre-pandemic of 6,071 initial claims) and remains at similar levels of initial claims filed during the Great Recession.</w:t>
      </w:r>
    </w:p>
    <w:p w14:paraId="70B98EC7" w14:textId="77777777" w:rsidR="009E26AE" w:rsidRPr="009E26AE" w:rsidRDefault="009E26AE" w:rsidP="009E26AE">
      <w:pPr>
        <w:numPr>
          <w:ilvl w:val="0"/>
          <w:numId w:val="44"/>
        </w:numPr>
        <w:spacing w:after="105" w:line="240" w:lineRule="auto"/>
        <w:rPr>
          <w:rFonts w:eastAsia="Times New Roman" w:cstheme="minorHAnsi"/>
        </w:rPr>
      </w:pPr>
      <w:r w:rsidRPr="009E26AE">
        <w:rPr>
          <w:rFonts w:eastAsia="Times New Roman" w:cstheme="minorHAnsi"/>
        </w:rPr>
        <w:t>Decreases in layoffs in Manufacturing and Educational Services contributed to the decrease in regular initial claims last week.</w:t>
      </w:r>
    </w:p>
    <w:p w14:paraId="19A760A1" w14:textId="77777777" w:rsidR="009E26AE" w:rsidRPr="009E26AE" w:rsidRDefault="009E26AE" w:rsidP="009E26AE">
      <w:pPr>
        <w:numPr>
          <w:ilvl w:val="0"/>
          <w:numId w:val="44"/>
        </w:numPr>
        <w:spacing w:after="105" w:line="240" w:lineRule="auto"/>
        <w:rPr>
          <w:rFonts w:eastAsia="Times New Roman" w:cstheme="minorHAnsi"/>
        </w:rPr>
      </w:pPr>
      <w:r w:rsidRPr="009E26AE">
        <w:rPr>
          <w:rFonts w:eastAsia="Times New Roman" w:cstheme="minorHAnsi"/>
        </w:rPr>
        <w:t>Initial claims applications for regular benefits, Pandemic Emergency Unemployment Assistance (PEUC), Pandemic Unemployment Assistance (PUA) as well as continued claims for regular benefits all decreased over the week.</w:t>
      </w:r>
    </w:p>
    <w:p w14:paraId="4532CF8A" w14:textId="77777777" w:rsidR="009E26AE" w:rsidRPr="009E26AE" w:rsidRDefault="009E26AE" w:rsidP="009E26AE">
      <w:pPr>
        <w:pStyle w:val="NormalWeb"/>
        <w:spacing w:before="0" w:beforeAutospacing="0" w:after="150" w:afterAutospacing="0"/>
        <w:rPr>
          <w:rFonts w:asciiTheme="minorHAnsi" w:eastAsiaTheme="minorHAnsi" w:hAnsiTheme="minorHAnsi" w:cstheme="minorHAnsi"/>
          <w:sz w:val="22"/>
          <w:szCs w:val="22"/>
        </w:rPr>
      </w:pPr>
      <w:r w:rsidRPr="009E26AE">
        <w:rPr>
          <w:rFonts w:asciiTheme="minorHAnsi" w:hAnsiTheme="minorHAnsi" w:cstheme="minorHAnsi"/>
          <w:sz w:val="22"/>
          <w:szCs w:val="22"/>
        </w:rPr>
        <w:t xml:space="preserve">In the week ending April 24, ESD paid out over $230 million for 295,464 individual claims. Since the crisis began in March 2020, ESD has paid more than $17.2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04FA2EC1" w:rsidR="00CE5C38" w:rsidRDefault="00CE5C38" w:rsidP="00CE5C38">
      <w:pPr>
        <w:pStyle w:val="ListParagraph"/>
        <w:numPr>
          <w:ilvl w:val="0"/>
          <w:numId w:val="24"/>
        </w:numPr>
        <w:spacing w:after="0"/>
      </w:pPr>
      <w:r>
        <w:t>UI Fraud help</w:t>
      </w:r>
      <w:r w:rsidR="006225DF">
        <w:t xml:space="preserve"> </w:t>
      </w:r>
      <w:hyperlink r:id="rId17" w:history="1">
        <w:r w:rsidR="006225DF" w:rsidRPr="006225DF">
          <w:rPr>
            <w:rStyle w:val="Hyperlink"/>
          </w:rPr>
          <w:t>here</w:t>
        </w:r>
      </w:hyperlink>
      <w:r w:rsidR="006225DF">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22C85513" w14:textId="77777777" w:rsidR="006225DF" w:rsidRDefault="00C11AE8" w:rsidP="006225DF">
      <w:pPr>
        <w:pStyle w:val="ListParagraph"/>
        <w:numPr>
          <w:ilvl w:val="0"/>
          <w:numId w:val="43"/>
        </w:numPr>
        <w:rPr>
          <w:rFonts w:cstheme="minorHAnsi"/>
        </w:rPr>
      </w:pPr>
      <w:r w:rsidRPr="00C11AE8">
        <w:t xml:space="preserve">Visit this page on the WPC site to submit a service request: </w:t>
      </w:r>
      <w:hyperlink r:id="rId18" w:history="1">
        <w:r>
          <w:rPr>
            <w:rStyle w:val="Hyperlink"/>
          </w:rPr>
          <w:t>https://wpc.wa.gov/tech/issues</w:t>
        </w:r>
      </w:hyperlink>
      <w:r w:rsidRPr="003E6832">
        <w:rPr>
          <w:color w:val="C00000"/>
        </w:rPr>
        <w:t xml:space="preserve"> </w:t>
      </w:r>
      <w:r w:rsidR="006225DF">
        <w:rPr>
          <w:rFonts w:cstheme="minorHAnsi"/>
        </w:rPr>
        <w:t>Before submitting a service ticket, review this desk aid “</w:t>
      </w:r>
      <w:hyperlink r:id="rId19" w:history="1">
        <w:r w:rsidR="006225DF" w:rsidRPr="0022546C">
          <w:rPr>
            <w:rStyle w:val="Hyperlink"/>
            <w:rFonts w:cstheme="minorHAnsi"/>
          </w:rPr>
          <w:t>Check list: things to try before submitting a service/remedy ticket</w:t>
        </w:r>
      </w:hyperlink>
      <w:r w:rsidR="006225DF">
        <w:rPr>
          <w:rFonts w:cstheme="minorHAnsi"/>
        </w:rPr>
        <w:t xml:space="preserve">” </w:t>
      </w:r>
    </w:p>
    <w:p w14:paraId="38F2EFF7" w14:textId="44739FDA" w:rsidR="000421CF" w:rsidRPr="006225DF" w:rsidRDefault="00C11AE8" w:rsidP="006225DF">
      <w:pPr>
        <w:pStyle w:val="ListParagraph"/>
        <w:numPr>
          <w:ilvl w:val="1"/>
          <w:numId w:val="43"/>
        </w:numPr>
        <w:rPr>
          <w:rStyle w:val="Hyperlink"/>
          <w:rFonts w:cstheme="minorHAnsi"/>
          <w:color w:val="auto"/>
          <w:u w:val="none"/>
        </w:rPr>
      </w:pPr>
      <w:r w:rsidRPr="00C11AE8">
        <w:t xml:space="preserve">If you are an ESD partner, there is a downloadable form that you must fill out and send to the </w:t>
      </w:r>
      <w:r w:rsidRPr="006225DF">
        <w:rPr>
          <w:b/>
          <w:bCs/>
        </w:rPr>
        <w:t>Technical Solutions</w:t>
      </w:r>
      <w:r w:rsidRPr="00C11AE8">
        <w:t xml:space="preserve"> service desk – their e-mail is</w:t>
      </w:r>
      <w:r w:rsidRPr="006225DF">
        <w:rPr>
          <w:color w:val="C00000"/>
        </w:rPr>
        <w:t xml:space="preserve"> </w:t>
      </w:r>
      <w:hyperlink r:id="rId20"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1724F891" w:rsidR="0092055F" w:rsidRPr="00B4371C" w:rsidRDefault="0092055F" w:rsidP="0092055F">
      <w:pPr>
        <w:pStyle w:val="ListParagraph"/>
        <w:numPr>
          <w:ilvl w:val="0"/>
          <w:numId w:val="3"/>
        </w:numPr>
        <w:spacing w:after="0"/>
      </w:pPr>
      <w:r>
        <w:t xml:space="preserve">WorkSource Systems </w:t>
      </w:r>
      <w:r w:rsidR="006225DF">
        <w:t xml:space="preserve">(ETO and WSWA) </w:t>
      </w:r>
      <w:r>
        <w:t xml:space="preserve">resources </w:t>
      </w:r>
      <w:r w:rsidR="006225DF">
        <w:t xml:space="preserve">are </w:t>
      </w:r>
      <w:r>
        <w:t xml:space="preserve">found on the </w:t>
      </w:r>
      <w:r w:rsidRPr="00B4371C">
        <w:t xml:space="preserve">WPC </w:t>
      </w:r>
      <w:r>
        <w:t xml:space="preserve">Technology </w:t>
      </w:r>
      <w:r w:rsidRPr="00B4371C">
        <w:t>site</w:t>
      </w:r>
      <w:r>
        <w:t xml:space="preserve"> </w:t>
      </w:r>
      <w:hyperlink r:id="rId22" w:history="1">
        <w:r w:rsidR="006225DF" w:rsidRPr="006225DF">
          <w:rPr>
            <w:rStyle w:val="Hyperlink"/>
          </w:rPr>
          <w:t>here</w:t>
        </w:r>
      </w:hyperlink>
      <w:r w:rsidR="006225DF">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05F89ECF" w14:textId="7EB526DC" w:rsidR="00753E30" w:rsidRDefault="00FB3094" w:rsidP="008855EA">
      <w:pPr>
        <w:spacing w:after="0"/>
      </w:pPr>
      <w:r w:rsidRPr="00FB3094">
        <w:rPr>
          <w:b/>
        </w:rPr>
        <w:t>CHAT</w:t>
      </w:r>
    </w:p>
    <w:p w14:paraId="5575D01F" w14:textId="6E00FF6E" w:rsidR="003E3CD2" w:rsidRPr="00187297" w:rsidRDefault="009B4CDA" w:rsidP="009B4CDA">
      <w:pPr>
        <w:tabs>
          <w:tab w:val="left" w:pos="2760"/>
        </w:tabs>
        <w:spacing w:after="0"/>
        <w:rPr>
          <w:bCs/>
          <w:i/>
          <w:iCs/>
          <w:color w:val="C00000"/>
        </w:rPr>
      </w:pPr>
      <w:r w:rsidRPr="009B4CDA">
        <w:rPr>
          <w:b/>
        </w:rPr>
        <w:t>from Talia Ni Dufaigh to everyone: Is there anyway searches can be enabled for items such as Public Use?</w:t>
      </w:r>
      <w:r w:rsidR="00187297">
        <w:rPr>
          <w:b/>
        </w:rPr>
        <w:t xml:space="preserve"> </w:t>
      </w:r>
      <w:r w:rsidR="00187297" w:rsidRPr="00187297">
        <w:rPr>
          <w:bCs/>
          <w:i/>
          <w:iCs/>
          <w:color w:val="C00000"/>
        </w:rPr>
        <w:t>Yes, and it is fixed. Thanks for reporting it was broken!</w:t>
      </w:r>
    </w:p>
    <w:p w14:paraId="2334A7E8" w14:textId="77777777" w:rsidR="00187297" w:rsidRDefault="00187297" w:rsidP="006E268D">
      <w:pPr>
        <w:tabs>
          <w:tab w:val="left" w:pos="2760"/>
        </w:tabs>
        <w:spacing w:after="0"/>
        <w:rPr>
          <w:b/>
        </w:rPr>
      </w:pPr>
    </w:p>
    <w:p w14:paraId="102474D2" w14:textId="62CB1014" w:rsidR="00AB6D65" w:rsidRDefault="00C84D41" w:rsidP="006E268D">
      <w:pPr>
        <w:tabs>
          <w:tab w:val="left" w:pos="2760"/>
        </w:tabs>
        <w:spacing w:after="0"/>
        <w:rPr>
          <w:b/>
        </w:rPr>
      </w:pPr>
      <w:r>
        <w:rPr>
          <w:b/>
        </w:rPr>
        <w:t>ATTENDEES</w:t>
      </w:r>
    </w:p>
    <w:p w14:paraId="142C2D00" w14:textId="77777777" w:rsidR="00B020B3" w:rsidRDefault="00B020B3" w:rsidP="00B020B3">
      <w:pPr>
        <w:spacing w:after="0"/>
        <w:sectPr w:rsidR="00B020B3" w:rsidSect="00680517">
          <w:type w:val="continuous"/>
          <w:pgSz w:w="12240" w:h="15840"/>
          <w:pgMar w:top="720" w:right="720" w:bottom="720" w:left="720" w:header="720" w:footer="720" w:gutter="0"/>
          <w:cols w:space="720"/>
          <w:docGrid w:linePitch="360"/>
        </w:sectPr>
      </w:pPr>
      <w:bookmarkStart w:id="3" w:name="_Hlk56587989"/>
    </w:p>
    <w:p w14:paraId="3B3C8120" w14:textId="77777777" w:rsidR="00187297" w:rsidRDefault="00187297" w:rsidP="00187297">
      <w:pPr>
        <w:spacing w:after="0"/>
      </w:pPr>
      <w:r>
        <w:t>Abigail Taft</w:t>
      </w:r>
    </w:p>
    <w:p w14:paraId="1B32708F" w14:textId="77777777" w:rsidR="00187297" w:rsidRDefault="00187297" w:rsidP="00187297">
      <w:pPr>
        <w:spacing w:after="0"/>
      </w:pPr>
      <w:r>
        <w:t>Adeline Kerns</w:t>
      </w:r>
    </w:p>
    <w:p w14:paraId="7914DFCF" w14:textId="77777777" w:rsidR="00187297" w:rsidRDefault="00187297" w:rsidP="00187297">
      <w:pPr>
        <w:spacing w:after="0"/>
      </w:pPr>
      <w:r>
        <w:t>Ariana Cordova</w:t>
      </w:r>
    </w:p>
    <w:p w14:paraId="30DAFB71" w14:textId="77777777" w:rsidR="00187297" w:rsidRDefault="00187297" w:rsidP="00187297">
      <w:pPr>
        <w:spacing w:after="0"/>
      </w:pPr>
      <w:r>
        <w:t>Arturo Espinosa</w:t>
      </w:r>
    </w:p>
    <w:p w14:paraId="5BECDF9D" w14:textId="77777777" w:rsidR="00187297" w:rsidRDefault="00187297" w:rsidP="00187297">
      <w:pPr>
        <w:spacing w:after="0"/>
      </w:pPr>
      <w:r>
        <w:t>BA</w:t>
      </w:r>
    </w:p>
    <w:p w14:paraId="294B6167" w14:textId="77777777" w:rsidR="00187297" w:rsidRDefault="00187297" w:rsidP="00187297">
      <w:pPr>
        <w:spacing w:after="0"/>
      </w:pPr>
      <w:r>
        <w:t>Becky Smith</w:t>
      </w:r>
    </w:p>
    <w:p w14:paraId="4BE47E50" w14:textId="77777777" w:rsidR="00187297" w:rsidRDefault="00187297" w:rsidP="00187297">
      <w:pPr>
        <w:spacing w:after="0"/>
      </w:pPr>
      <w:r>
        <w:t>Catherine Geddis</w:t>
      </w:r>
    </w:p>
    <w:p w14:paraId="17CEB15C" w14:textId="77777777" w:rsidR="00187297" w:rsidRDefault="00187297" w:rsidP="00187297">
      <w:pPr>
        <w:spacing w:after="0"/>
      </w:pPr>
      <w:r>
        <w:t>Christina Shaffer</w:t>
      </w:r>
    </w:p>
    <w:p w14:paraId="6F76D848" w14:textId="77777777" w:rsidR="00187297" w:rsidRDefault="00187297" w:rsidP="00187297">
      <w:pPr>
        <w:spacing w:after="0"/>
      </w:pPr>
      <w:r>
        <w:t>Christopher File</w:t>
      </w:r>
    </w:p>
    <w:p w14:paraId="3D543565" w14:textId="77777777" w:rsidR="00187297" w:rsidRDefault="00187297" w:rsidP="00187297">
      <w:pPr>
        <w:spacing w:after="0"/>
      </w:pPr>
      <w:r>
        <w:t>Cori Ching</w:t>
      </w:r>
    </w:p>
    <w:p w14:paraId="62914B9D" w14:textId="77777777" w:rsidR="00187297" w:rsidRDefault="00187297" w:rsidP="00187297">
      <w:pPr>
        <w:spacing w:after="0"/>
      </w:pPr>
      <w:r>
        <w:t>Cynthia Kressin</w:t>
      </w:r>
    </w:p>
    <w:p w14:paraId="7B0EC3C3" w14:textId="77777777" w:rsidR="00187297" w:rsidRDefault="00187297" w:rsidP="00187297">
      <w:pPr>
        <w:spacing w:after="0"/>
      </w:pPr>
      <w:r>
        <w:t>Dean</w:t>
      </w:r>
    </w:p>
    <w:p w14:paraId="0079081B" w14:textId="77777777" w:rsidR="00187297" w:rsidRDefault="00187297" w:rsidP="00187297">
      <w:pPr>
        <w:spacing w:after="0"/>
      </w:pPr>
      <w:r>
        <w:t>Deanna Gillis</w:t>
      </w:r>
    </w:p>
    <w:p w14:paraId="3E389574" w14:textId="77777777" w:rsidR="00187297" w:rsidRDefault="00187297" w:rsidP="00187297">
      <w:pPr>
        <w:spacing w:after="0"/>
      </w:pPr>
      <w:r>
        <w:t>Diane Luoma</w:t>
      </w:r>
    </w:p>
    <w:p w14:paraId="1BCA4BFA" w14:textId="77777777" w:rsidR="00187297" w:rsidRDefault="00187297" w:rsidP="00187297">
      <w:pPr>
        <w:spacing w:after="0"/>
      </w:pPr>
      <w:r>
        <w:t>Donna Mack</w:t>
      </w:r>
    </w:p>
    <w:p w14:paraId="3AD163AD" w14:textId="77777777" w:rsidR="00187297" w:rsidRDefault="00187297" w:rsidP="00187297">
      <w:pPr>
        <w:spacing w:after="0"/>
      </w:pPr>
      <w:r>
        <w:t>Dorothy Rocha</w:t>
      </w:r>
    </w:p>
    <w:p w14:paraId="0DE9C3FC" w14:textId="77777777" w:rsidR="00187297" w:rsidRDefault="00187297" w:rsidP="00187297">
      <w:pPr>
        <w:spacing w:after="0"/>
      </w:pPr>
      <w:r>
        <w:t>Heidi Lamers</w:t>
      </w:r>
    </w:p>
    <w:p w14:paraId="5C104FBF" w14:textId="77777777" w:rsidR="00187297" w:rsidRDefault="00187297" w:rsidP="00187297">
      <w:pPr>
        <w:spacing w:after="0"/>
      </w:pPr>
      <w:r>
        <w:t>Irene Jordan</w:t>
      </w:r>
    </w:p>
    <w:p w14:paraId="78D02AE0" w14:textId="77777777" w:rsidR="00187297" w:rsidRDefault="00187297" w:rsidP="00187297">
      <w:pPr>
        <w:spacing w:after="0"/>
      </w:pPr>
      <w:r>
        <w:t>Jack Dryden</w:t>
      </w:r>
    </w:p>
    <w:p w14:paraId="6509C111" w14:textId="77777777" w:rsidR="00187297" w:rsidRDefault="00187297" w:rsidP="00187297">
      <w:pPr>
        <w:spacing w:after="0"/>
      </w:pPr>
      <w:r>
        <w:t>Jenny Capella</w:t>
      </w:r>
    </w:p>
    <w:p w14:paraId="4240A662" w14:textId="77777777" w:rsidR="00187297" w:rsidRDefault="00187297" w:rsidP="00187297">
      <w:pPr>
        <w:spacing w:after="0"/>
      </w:pPr>
      <w:r>
        <w:t>Jo Ann Enwall</w:t>
      </w:r>
    </w:p>
    <w:p w14:paraId="453BC515" w14:textId="77777777" w:rsidR="00187297" w:rsidRDefault="00187297" w:rsidP="00187297">
      <w:pPr>
        <w:spacing w:after="0"/>
      </w:pPr>
      <w:r>
        <w:t>Kate Hesseltine</w:t>
      </w:r>
    </w:p>
    <w:p w14:paraId="21049B69" w14:textId="77777777" w:rsidR="00187297" w:rsidRDefault="00187297" w:rsidP="00187297">
      <w:pPr>
        <w:spacing w:after="0"/>
      </w:pPr>
      <w:r>
        <w:t>Kimberly Metcalf</w:t>
      </w:r>
    </w:p>
    <w:p w14:paraId="48CACA62" w14:textId="77777777" w:rsidR="00187297" w:rsidRDefault="00187297" w:rsidP="00187297">
      <w:pPr>
        <w:spacing w:after="0"/>
      </w:pPr>
      <w:r>
        <w:t>Kylie Bartlett</w:t>
      </w:r>
    </w:p>
    <w:p w14:paraId="26C2F722" w14:textId="77777777" w:rsidR="00187297" w:rsidRDefault="00187297" w:rsidP="00187297">
      <w:pPr>
        <w:spacing w:after="0"/>
      </w:pPr>
      <w:r>
        <w:t>Laura Anderson</w:t>
      </w:r>
    </w:p>
    <w:p w14:paraId="208F8B8D" w14:textId="77777777" w:rsidR="00187297" w:rsidRDefault="00187297" w:rsidP="00187297">
      <w:pPr>
        <w:spacing w:after="0"/>
      </w:pPr>
      <w:r>
        <w:t>Lux Dmitri</w:t>
      </w:r>
    </w:p>
    <w:p w14:paraId="3DE95C8A" w14:textId="77777777" w:rsidR="00187297" w:rsidRDefault="00187297" w:rsidP="00187297">
      <w:pPr>
        <w:spacing w:after="0"/>
      </w:pPr>
      <w:r>
        <w:t>Mahre Tanya</w:t>
      </w:r>
    </w:p>
    <w:p w14:paraId="3C8FFC70" w14:textId="77777777" w:rsidR="00187297" w:rsidRDefault="00187297" w:rsidP="00187297">
      <w:pPr>
        <w:spacing w:after="0"/>
      </w:pPr>
      <w:r>
        <w:lastRenderedPageBreak/>
        <w:t>Maria Zaragoza</w:t>
      </w:r>
    </w:p>
    <w:p w14:paraId="7AD43A83" w14:textId="77777777" w:rsidR="00187297" w:rsidRDefault="00187297" w:rsidP="00187297">
      <w:pPr>
        <w:spacing w:after="0"/>
      </w:pPr>
      <w:r>
        <w:t>Maribel Dominguez</w:t>
      </w:r>
    </w:p>
    <w:p w14:paraId="3AD5AE06" w14:textId="77777777" w:rsidR="00187297" w:rsidRDefault="00187297" w:rsidP="00187297">
      <w:pPr>
        <w:spacing w:after="0"/>
      </w:pPr>
      <w:r>
        <w:t>Mary MacLennan</w:t>
      </w:r>
    </w:p>
    <w:p w14:paraId="3281EE87" w14:textId="77777777" w:rsidR="00187297" w:rsidRDefault="00187297" w:rsidP="00187297">
      <w:pPr>
        <w:spacing w:after="0"/>
      </w:pPr>
      <w:r>
        <w:t>Lei-Ling Taylor</w:t>
      </w:r>
    </w:p>
    <w:p w14:paraId="3DA87C6C" w14:textId="77777777" w:rsidR="00187297" w:rsidRDefault="00187297" w:rsidP="00187297">
      <w:pPr>
        <w:spacing w:after="0"/>
      </w:pPr>
      <w:r>
        <w:t>Melisa Flores-Sanchez</w:t>
      </w:r>
    </w:p>
    <w:p w14:paraId="03BA0ABD" w14:textId="77777777" w:rsidR="00187297" w:rsidRDefault="00187297" w:rsidP="00187297">
      <w:pPr>
        <w:spacing w:after="0"/>
      </w:pPr>
      <w:r>
        <w:t>Mirayia Chacon-Baker</w:t>
      </w:r>
    </w:p>
    <w:p w14:paraId="133A9D6D" w14:textId="77777777" w:rsidR="00187297" w:rsidRDefault="00187297" w:rsidP="00187297">
      <w:pPr>
        <w:spacing w:after="0"/>
      </w:pPr>
      <w:r>
        <w:t>Pamela Noll</w:t>
      </w:r>
    </w:p>
    <w:p w14:paraId="4AB60AE1" w14:textId="77777777" w:rsidR="00187297" w:rsidRDefault="00187297" w:rsidP="00187297">
      <w:pPr>
        <w:spacing w:after="0"/>
      </w:pPr>
      <w:r>
        <w:t>Parker Coffey</w:t>
      </w:r>
    </w:p>
    <w:p w14:paraId="44CC40FD" w14:textId="77777777" w:rsidR="00187297" w:rsidRDefault="00187297" w:rsidP="00187297">
      <w:pPr>
        <w:spacing w:after="0"/>
      </w:pPr>
      <w:r>
        <w:t>Pochi Ostergren</w:t>
      </w:r>
    </w:p>
    <w:p w14:paraId="6AE60F49" w14:textId="77777777" w:rsidR="00187297" w:rsidRDefault="00187297" w:rsidP="00187297">
      <w:pPr>
        <w:spacing w:after="0"/>
      </w:pPr>
      <w:r>
        <w:t>Regina Cancel</w:t>
      </w:r>
    </w:p>
    <w:p w14:paraId="16E55A82" w14:textId="77777777" w:rsidR="00187297" w:rsidRDefault="00187297" w:rsidP="00187297">
      <w:pPr>
        <w:spacing w:after="0"/>
      </w:pPr>
      <w:r>
        <w:t>Robert Jonas</w:t>
      </w:r>
    </w:p>
    <w:p w14:paraId="77CDF1C8" w14:textId="77777777" w:rsidR="00187297" w:rsidRDefault="00187297" w:rsidP="00187297">
      <w:pPr>
        <w:spacing w:after="0"/>
      </w:pPr>
      <w:r>
        <w:t>Rodolfo Aparicio</w:t>
      </w:r>
    </w:p>
    <w:p w14:paraId="32C18D94" w14:textId="77777777" w:rsidR="00187297" w:rsidRDefault="00187297" w:rsidP="00187297">
      <w:pPr>
        <w:spacing w:after="0"/>
      </w:pPr>
      <w:r>
        <w:t>Susan Mbatudde-Gustafson</w:t>
      </w:r>
    </w:p>
    <w:p w14:paraId="46612D6C" w14:textId="77777777" w:rsidR="00187297" w:rsidRDefault="00187297" w:rsidP="00187297">
      <w:pPr>
        <w:spacing w:after="0"/>
      </w:pPr>
      <w:r>
        <w:t>Talia Ni Dufaigh</w:t>
      </w:r>
    </w:p>
    <w:p w14:paraId="19186D17" w14:textId="77777777" w:rsidR="00187297" w:rsidRDefault="00187297" w:rsidP="00187297">
      <w:pPr>
        <w:spacing w:after="0"/>
      </w:pPr>
      <w:r>
        <w:t>Tamela McNamee</w:t>
      </w:r>
    </w:p>
    <w:p w14:paraId="591DD190" w14:textId="77777777" w:rsidR="00187297" w:rsidRDefault="00187297" w:rsidP="00187297">
      <w:pPr>
        <w:spacing w:after="0"/>
      </w:pPr>
      <w:r>
        <w:t>Teresa Adna</w:t>
      </w:r>
    </w:p>
    <w:p w14:paraId="67FD62B8" w14:textId="77777777" w:rsidR="00187297" w:rsidRDefault="00187297" w:rsidP="00187297">
      <w:pPr>
        <w:spacing w:after="0"/>
      </w:pPr>
      <w:r>
        <w:t>Teresa Smith</w:t>
      </w:r>
    </w:p>
    <w:p w14:paraId="7EC10BC6" w14:textId="77777777" w:rsidR="00187297" w:rsidRDefault="00187297" w:rsidP="00187297">
      <w:pPr>
        <w:spacing w:after="0"/>
      </w:pPr>
      <w:r>
        <w:t>Theresa Rogers</w:t>
      </w:r>
    </w:p>
    <w:p w14:paraId="4EEDB074" w14:textId="77777777" w:rsidR="00187297" w:rsidRDefault="00187297" w:rsidP="00187297">
      <w:pPr>
        <w:spacing w:after="0"/>
      </w:pPr>
      <w:r>
        <w:t>Tina Newcomer</w:t>
      </w:r>
    </w:p>
    <w:p w14:paraId="0F971FFF" w14:textId="77777777" w:rsidR="00187297" w:rsidRDefault="00187297" w:rsidP="00187297">
      <w:pPr>
        <w:spacing w:after="0"/>
      </w:pPr>
      <w:r>
        <w:t>Toni Burow</w:t>
      </w:r>
    </w:p>
    <w:p w14:paraId="33B3228C" w14:textId="77777777" w:rsidR="00187297" w:rsidRDefault="00187297" w:rsidP="00187297">
      <w:pPr>
        <w:spacing w:after="0"/>
      </w:pPr>
      <w:r>
        <w:t>Tracy Ferrall</w:t>
      </w:r>
    </w:p>
    <w:p w14:paraId="7A413570" w14:textId="77777777" w:rsidR="00187297" w:rsidRDefault="00187297" w:rsidP="00187297">
      <w:pPr>
        <w:spacing w:after="0"/>
      </w:pPr>
      <w:r w:rsidRPr="007862A5">
        <w:t>Vey Damneun</w:t>
      </w:r>
    </w:p>
    <w:p w14:paraId="32AC0F10" w14:textId="77777777" w:rsidR="00187297" w:rsidRDefault="00187297" w:rsidP="00187297">
      <w:pPr>
        <w:spacing w:after="0"/>
      </w:pPr>
      <w:r>
        <w:t>Z</w:t>
      </w:r>
      <w:r w:rsidRPr="007862A5">
        <w:t>oryana Bilous</w:t>
      </w:r>
    </w:p>
    <w:p w14:paraId="0DCA9894" w14:textId="77777777" w:rsidR="00187297" w:rsidRDefault="00187297" w:rsidP="00187297"/>
    <w:p w14:paraId="5B0AD567" w14:textId="77777777" w:rsidR="00B020B3" w:rsidRDefault="00B020B3" w:rsidP="00B020B3">
      <w:pPr>
        <w:sectPr w:rsidR="00B020B3" w:rsidSect="00B020B3">
          <w:type w:val="continuous"/>
          <w:pgSz w:w="12240" w:h="15840"/>
          <w:pgMar w:top="720" w:right="720" w:bottom="720" w:left="720" w:header="720" w:footer="720" w:gutter="0"/>
          <w:cols w:num="3" w:space="720"/>
          <w:docGrid w:linePitch="360"/>
        </w:sectPr>
      </w:pPr>
    </w:p>
    <w:bookmarkEnd w:id="3"/>
    <w:p w14:paraId="4199201B" w14:textId="77777777" w:rsidR="00B020B3" w:rsidRDefault="00B020B3" w:rsidP="006E268D">
      <w:pPr>
        <w:tabs>
          <w:tab w:val="left" w:pos="2760"/>
        </w:tabs>
        <w:spacing w:after="0"/>
        <w:rPr>
          <w:b/>
        </w:rPr>
      </w:pPr>
    </w:p>
    <w:p w14:paraId="3556F80B" w14:textId="77777777" w:rsidR="00295122" w:rsidRDefault="00295122" w:rsidP="0099265E">
      <w:pPr>
        <w:spacing w:after="0"/>
        <w:rPr>
          <w:bCs/>
        </w:rPr>
        <w:sectPr w:rsidR="00295122" w:rsidSect="00680517">
          <w:type w:val="continuous"/>
          <w:pgSz w:w="12240" w:h="15840"/>
          <w:pgMar w:top="720" w:right="720" w:bottom="720" w:left="720" w:header="720" w:footer="720" w:gutter="0"/>
          <w:cols w:space="720"/>
          <w:docGrid w:linePitch="360"/>
        </w:sectPr>
      </w:pPr>
    </w:p>
    <w:p w14:paraId="5C1A99B9" w14:textId="361A448D" w:rsidR="00965F27" w:rsidRDefault="002D1824" w:rsidP="00E94290">
      <w:pPr>
        <w:spacing w:after="0"/>
        <w:rPr>
          <w:color w:val="C00000"/>
        </w:rPr>
      </w:pPr>
      <w:r>
        <w:rPr>
          <w:color w:val="C00000"/>
        </w:rPr>
        <w:t>Attended s</w:t>
      </w:r>
      <w:r w:rsidRPr="002A4D0C">
        <w:rPr>
          <w:color w:val="C00000"/>
        </w:rPr>
        <w:t xml:space="preserve">econd </w:t>
      </w:r>
      <w:r>
        <w:rPr>
          <w:color w:val="C00000"/>
        </w:rPr>
        <w:t>h</w:t>
      </w:r>
      <w:r w:rsidRPr="002A4D0C">
        <w:rPr>
          <w:color w:val="C00000"/>
        </w:rPr>
        <w:t>alf</w:t>
      </w:r>
    </w:p>
    <w:p w14:paraId="28C4A3D3" w14:textId="63433559" w:rsidR="00187297" w:rsidRPr="00187297" w:rsidRDefault="00187297" w:rsidP="00E94290">
      <w:pPr>
        <w:spacing w:after="0"/>
      </w:pPr>
      <w:r w:rsidRPr="00187297">
        <w:t>Short meeting, no second half</w:t>
      </w:r>
    </w:p>
    <w:sectPr w:rsidR="00187297" w:rsidRPr="00187297"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915"/>
    <w:multiLevelType w:val="multilevel"/>
    <w:tmpl w:val="577A6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4186B"/>
    <w:multiLevelType w:val="multilevel"/>
    <w:tmpl w:val="E164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27F82"/>
    <w:multiLevelType w:val="multilevel"/>
    <w:tmpl w:val="F0A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37FC9"/>
    <w:multiLevelType w:val="hybridMultilevel"/>
    <w:tmpl w:val="50068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AB0273"/>
    <w:multiLevelType w:val="multilevel"/>
    <w:tmpl w:val="33E8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3"/>
  </w:num>
  <w:num w:numId="3">
    <w:abstractNumId w:val="25"/>
  </w:num>
  <w:num w:numId="4">
    <w:abstractNumId w:val="0"/>
  </w:num>
  <w:num w:numId="5">
    <w:abstractNumId w:val="17"/>
  </w:num>
  <w:num w:numId="6">
    <w:abstractNumId w:val="21"/>
  </w:num>
  <w:num w:numId="7">
    <w:abstractNumId w:val="20"/>
  </w:num>
  <w:num w:numId="8">
    <w:abstractNumId w:val="28"/>
  </w:num>
  <w:num w:numId="9">
    <w:abstractNumId w:val="19"/>
  </w:num>
  <w:num w:numId="10">
    <w:abstractNumId w:val="2"/>
  </w:num>
  <w:num w:numId="11">
    <w:abstractNumId w:val="19"/>
  </w:num>
  <w:num w:numId="12">
    <w:abstractNumId w:val="2"/>
  </w:num>
  <w:num w:numId="13">
    <w:abstractNumId w:val="11"/>
  </w:num>
  <w:num w:numId="14">
    <w:abstractNumId w:val="30"/>
  </w:num>
  <w:num w:numId="15">
    <w:abstractNumId w:val="3"/>
  </w:num>
  <w:num w:numId="16">
    <w:abstractNumId w:val="34"/>
  </w:num>
  <w:num w:numId="17">
    <w:abstractNumId w:val="22"/>
  </w:num>
  <w:num w:numId="18">
    <w:abstractNumId w:val="5"/>
  </w:num>
  <w:num w:numId="19">
    <w:abstractNumId w:val="6"/>
  </w:num>
  <w:num w:numId="20">
    <w:abstractNumId w:val="15"/>
  </w:num>
  <w:num w:numId="21">
    <w:abstractNumId w:val="26"/>
  </w:num>
  <w:num w:numId="22">
    <w:abstractNumId w:val="12"/>
  </w:num>
  <w:num w:numId="23">
    <w:abstractNumId w:val="9"/>
  </w:num>
  <w:num w:numId="24">
    <w:abstractNumId w:val="37"/>
  </w:num>
  <w:num w:numId="25">
    <w:abstractNumId w:val="13"/>
  </w:num>
  <w:num w:numId="26">
    <w:abstractNumId w:val="40"/>
  </w:num>
  <w:num w:numId="27">
    <w:abstractNumId w:val="24"/>
  </w:num>
  <w:num w:numId="28">
    <w:abstractNumId w:val="31"/>
  </w:num>
  <w:num w:numId="29">
    <w:abstractNumId w:val="7"/>
  </w:num>
  <w:num w:numId="30">
    <w:abstractNumId w:val="23"/>
  </w:num>
  <w:num w:numId="31">
    <w:abstractNumId w:val="41"/>
  </w:num>
  <w:num w:numId="32">
    <w:abstractNumId w:val="18"/>
  </w:num>
  <w:num w:numId="33">
    <w:abstractNumId w:val="32"/>
  </w:num>
  <w:num w:numId="34">
    <w:abstractNumId w:val="35"/>
  </w:num>
  <w:num w:numId="35">
    <w:abstractNumId w:val="39"/>
  </w:num>
  <w:num w:numId="36">
    <w:abstractNumId w:val="10"/>
  </w:num>
  <w:num w:numId="37">
    <w:abstractNumId w:val="4"/>
  </w:num>
  <w:num w:numId="38">
    <w:abstractNumId w:val="1"/>
  </w:num>
  <w:num w:numId="39">
    <w:abstractNumId w:val="27"/>
  </w:num>
  <w:num w:numId="40">
    <w:abstractNumId w:val="16"/>
  </w:num>
  <w:num w:numId="41">
    <w:abstractNumId w:val="29"/>
  </w:num>
  <w:num w:numId="42">
    <w:abstractNumId w:val="8"/>
  </w:num>
  <w:num w:numId="43">
    <w:abstractNumId w:val="36"/>
  </w:num>
  <w:num w:numId="44">
    <w:abstractNumId w:val="1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3A78"/>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124A"/>
    <w:rsid w:val="0057600E"/>
    <w:rsid w:val="005767B4"/>
    <w:rsid w:val="00581906"/>
    <w:rsid w:val="005836FA"/>
    <w:rsid w:val="00584EE6"/>
    <w:rsid w:val="00584FA1"/>
    <w:rsid w:val="0058579E"/>
    <w:rsid w:val="00587BFB"/>
    <w:rsid w:val="00587F4B"/>
    <w:rsid w:val="00592225"/>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42D19"/>
    <w:rsid w:val="00743145"/>
    <w:rsid w:val="007452A9"/>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E4431"/>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A1504"/>
    <w:rsid w:val="009A21EE"/>
    <w:rsid w:val="009A3EEB"/>
    <w:rsid w:val="009A4080"/>
    <w:rsid w:val="009A5729"/>
    <w:rsid w:val="009A578E"/>
    <w:rsid w:val="009A7232"/>
    <w:rsid w:val="009B0596"/>
    <w:rsid w:val="009B135E"/>
    <w:rsid w:val="009B2FA6"/>
    <w:rsid w:val="009B4B34"/>
    <w:rsid w:val="009B4CDA"/>
    <w:rsid w:val="009B63B5"/>
    <w:rsid w:val="009B64B3"/>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430C1"/>
    <w:rsid w:val="00A449DF"/>
    <w:rsid w:val="00A44DC1"/>
    <w:rsid w:val="00A46F0B"/>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E23"/>
    <w:rsid w:val="00B86E8A"/>
    <w:rsid w:val="00B86F56"/>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2D4E"/>
    <w:rsid w:val="00BC5F09"/>
    <w:rsid w:val="00BC79A2"/>
    <w:rsid w:val="00BD2A1B"/>
    <w:rsid w:val="00BD3D8D"/>
    <w:rsid w:val="00BD4C1E"/>
    <w:rsid w:val="00BD5DAE"/>
    <w:rsid w:val="00BE23B1"/>
    <w:rsid w:val="00BE2822"/>
    <w:rsid w:val="00BE488D"/>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4D5"/>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5E0B"/>
    <w:rsid w:val="00EA6C1E"/>
    <w:rsid w:val="00EB1305"/>
    <w:rsid w:val="00EB14EE"/>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Create-a-eto-record-at-a-glance.pdf" TargetMode="External"/><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http://www.esd.wa.gov/fraud"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mailto:ESDDLITBITechnicalSolutions@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multisites.blob.core.windows.net/media/WPC/tech/staff-resources/Review-staff-efforts.docx" TargetMode="External"/><Relationship Id="rId23" Type="http://schemas.openxmlformats.org/officeDocument/2006/relationships/fontTable" Target="fontTable.xml"/><Relationship Id="rId10" Type="http://schemas.openxmlformats.org/officeDocument/2006/relationships/hyperlink" Target="https://wpc.wa.gov/tech/staff/trainingcalendar" TargetMode="External"/><Relationship Id="rId19"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techrefresh/public-use-computers" TargetMode="External"/><Relationship Id="rId22" Type="http://schemas.openxmlformats.org/officeDocument/2006/relationships/hyperlink" Target="https://wpc.wa.gov/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17</cp:revision>
  <dcterms:created xsi:type="dcterms:W3CDTF">2021-04-22T18:42:00Z</dcterms:created>
  <dcterms:modified xsi:type="dcterms:W3CDTF">2021-04-29T17:37:00Z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