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0EF8" w14:textId="77777777" w:rsidR="009E2E64" w:rsidRDefault="009E2E64" w:rsidP="00332343">
      <w:pPr>
        <w:jc w:val="center"/>
        <w:rPr>
          <w:b/>
          <w:sz w:val="24"/>
          <w:u w:val="single"/>
        </w:rPr>
      </w:pPr>
      <w:bookmarkStart w:id="0" w:name="_GoBack"/>
      <w:bookmarkEnd w:id="0"/>
    </w:p>
    <w:p w14:paraId="5F5DE40F" w14:textId="5328D07C"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072338">
        <w:rPr>
          <w:b/>
          <w:sz w:val="24"/>
          <w:u w:val="single"/>
        </w:rPr>
        <w:t>Minutes</w:t>
      </w:r>
      <w:r w:rsidR="00115953">
        <w:rPr>
          <w:b/>
          <w:sz w:val="24"/>
          <w:u w:val="single"/>
        </w:rPr>
        <w:t xml:space="preserve"> 4-</w:t>
      </w:r>
      <w:r w:rsidR="00086463">
        <w:rPr>
          <w:b/>
          <w:sz w:val="24"/>
          <w:u w:val="single"/>
        </w:rPr>
        <w:t>8</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65CDDAA2" w14:textId="14088E2E" w:rsidR="00746CCB" w:rsidRDefault="00746CCB" w:rsidP="00746CCB">
      <w:pPr>
        <w:pStyle w:val="ListParagraph"/>
        <w:numPr>
          <w:ilvl w:val="0"/>
          <w:numId w:val="1"/>
        </w:numPr>
      </w:pPr>
      <w:r>
        <w:t xml:space="preserve">New T12 Webex meeting </w:t>
      </w:r>
      <w:r w:rsidR="00FD3362">
        <w:t xml:space="preserve">invite </w:t>
      </w:r>
      <w:r>
        <w:t>and sign up information</w:t>
      </w:r>
    </w:p>
    <w:p w14:paraId="274349FD" w14:textId="146C0929" w:rsidR="00FD3362" w:rsidRDefault="00FD3362" w:rsidP="00FD3362">
      <w:pPr>
        <w:pStyle w:val="ListParagraph"/>
        <w:numPr>
          <w:ilvl w:val="1"/>
          <w:numId w:val="1"/>
        </w:numPr>
      </w:pPr>
      <w:r>
        <w:t xml:space="preserve">Email </w:t>
      </w:r>
      <w:hyperlink r:id="rId9" w:history="1">
        <w:r w:rsidRPr="002C1AFE">
          <w:rPr>
            <w:rStyle w:val="Hyperlink"/>
          </w:rPr>
          <w:t>esdgpwssteam@esd.wa.gov</w:t>
        </w:r>
      </w:hyperlink>
      <w:r>
        <w:t xml:space="preserve"> to be added to the distribution list and meeting invite</w:t>
      </w:r>
    </w:p>
    <w:p w14:paraId="777C5339" w14:textId="342F7358" w:rsidR="008C429F" w:rsidRDefault="00FD3362" w:rsidP="008C429F">
      <w:pPr>
        <w:pStyle w:val="ListParagraph"/>
        <w:numPr>
          <w:ilvl w:val="1"/>
          <w:numId w:val="1"/>
        </w:numPr>
      </w:pPr>
      <w:r>
        <w:t xml:space="preserve">Find call information on the </w:t>
      </w:r>
      <w:r w:rsidR="008C429F">
        <w:t>Trumba Staff Development Calendar</w:t>
      </w:r>
      <w:r>
        <w:t xml:space="preserve"> here </w:t>
      </w:r>
      <w:hyperlink r:id="rId10" w:history="1">
        <w:r w:rsidRPr="002C1AFE">
          <w:rPr>
            <w:rStyle w:val="Hyperlink"/>
          </w:rPr>
          <w:t>https://wpc.wa.gov/tech/staff/calendar</w:t>
        </w:r>
      </w:hyperlink>
      <w:r>
        <w:t xml:space="preserve"> </w:t>
      </w:r>
    </w:p>
    <w:p w14:paraId="6F18ED3F" w14:textId="2CE7E0D6" w:rsidR="00406BA2" w:rsidRDefault="00406BA2" w:rsidP="00406BA2">
      <w:pPr>
        <w:pStyle w:val="ListParagraph"/>
        <w:numPr>
          <w:ilvl w:val="0"/>
          <w:numId w:val="1"/>
        </w:numPr>
      </w:pPr>
      <w:r>
        <w:t xml:space="preserve">ESD.wa.gov or ESD Facebook page </w:t>
      </w:r>
      <w:r w:rsidR="00FD3362">
        <w:t xml:space="preserve">for </w:t>
      </w:r>
      <w:r>
        <w:t xml:space="preserve">current UI information </w:t>
      </w:r>
    </w:p>
    <w:p w14:paraId="56A93F4B" w14:textId="77777777" w:rsidR="00FD3362" w:rsidRDefault="00FD3362" w:rsidP="00FD3362">
      <w:pPr>
        <w:pStyle w:val="ListParagraph"/>
      </w:pPr>
    </w:p>
    <w:p w14:paraId="00F00970" w14:textId="610BE65F" w:rsidR="00086463" w:rsidRDefault="00086463" w:rsidP="00FD3362">
      <w:pPr>
        <w:pStyle w:val="ListParagraph"/>
        <w:numPr>
          <w:ilvl w:val="0"/>
          <w:numId w:val="1"/>
        </w:numPr>
        <w:spacing w:before="240"/>
      </w:pPr>
      <w:r>
        <w:t>UI benefit update</w:t>
      </w:r>
      <w:r w:rsidR="00FD3362">
        <w:t xml:space="preserve"> – </w:t>
      </w:r>
      <w:r w:rsidR="00FD3362" w:rsidRPr="00FD3362">
        <w:rPr>
          <w:b/>
          <w:bCs/>
          <w:i/>
          <w:iCs/>
        </w:rPr>
        <w:t>I am not a UI specialist</w:t>
      </w:r>
      <w:r w:rsidR="00FD3362">
        <w:t xml:space="preserve"> this is for your reference.  Refer job seekers, employers, claimants, family and friends to ESD’s website and Facebook page for the latest update</w:t>
      </w:r>
    </w:p>
    <w:p w14:paraId="63F8BFD9" w14:textId="65EA6FC6" w:rsidR="00072338" w:rsidRPr="00FD3362" w:rsidRDefault="00072338" w:rsidP="00072338">
      <w:pPr>
        <w:rPr>
          <w:rFonts w:cstheme="minorHAnsi"/>
          <w:b/>
          <w:bCs/>
          <w:highlight w:val="yellow"/>
        </w:rPr>
      </w:pPr>
      <w:r w:rsidRPr="00FD3362">
        <w:rPr>
          <w:rFonts w:cstheme="minorHAnsi"/>
          <w:b/>
          <w:bCs/>
          <w:highlight w:val="yellow"/>
        </w:rPr>
        <w:t>What’s new</w:t>
      </w:r>
      <w:r w:rsidRPr="00FD3362">
        <w:rPr>
          <w:rFonts w:cstheme="minorHAnsi"/>
          <w:highlight w:val="yellow"/>
        </w:rPr>
        <w:t>: On 3/27/20, the President signed the CARES Act into law. This law provides relief for workers affected by the Coronavirus. This update explains the addition of $600 each week to eligible claims, known as Federal Pandemic Unemployment Compensation (FPUC). The other two programs, Pandemic Emergency Unemployment Compensation (PEUC) and Pandemic Unemployment Assistance (PUA), will be addressed in subsequent updates.</w:t>
      </w:r>
    </w:p>
    <w:p w14:paraId="13A39242" w14:textId="77777777" w:rsidR="00406BA2" w:rsidRPr="00FD3362" w:rsidRDefault="00072338" w:rsidP="00406BA2">
      <w:pPr>
        <w:spacing w:after="0"/>
        <w:rPr>
          <w:rFonts w:cstheme="minorHAnsi"/>
          <w:b/>
          <w:bCs/>
          <w:highlight w:val="yellow"/>
        </w:rPr>
      </w:pPr>
      <w:r w:rsidRPr="00FD3362">
        <w:rPr>
          <w:rFonts w:cstheme="minorHAnsi"/>
          <w:b/>
          <w:bCs/>
          <w:highlight w:val="yellow"/>
        </w:rPr>
        <w:t>Eligibility</w:t>
      </w:r>
    </w:p>
    <w:p w14:paraId="5C8D4225" w14:textId="7FA90EA3" w:rsidR="00072338" w:rsidRPr="00FD3362" w:rsidRDefault="00072338" w:rsidP="00406BA2">
      <w:pPr>
        <w:rPr>
          <w:rFonts w:eastAsia="Times New Roman" w:cstheme="minorHAnsi"/>
          <w:highlight w:val="yellow"/>
        </w:rPr>
      </w:pPr>
      <w:r w:rsidRPr="00FD3362">
        <w:rPr>
          <w:rFonts w:eastAsia="Times New Roman" w:cstheme="minorHAnsi"/>
          <w:highlight w:val="yellow"/>
        </w:rPr>
        <w:t>FPUC adds $600 each week to the current weekly benefits from these UI programs (underlying benefits):</w:t>
      </w:r>
    </w:p>
    <w:p w14:paraId="322F66D9" w14:textId="77777777" w:rsidR="00072338" w:rsidRPr="00FD3362" w:rsidRDefault="00072338" w:rsidP="00072338">
      <w:pPr>
        <w:pStyle w:val="ListParagraph"/>
        <w:numPr>
          <w:ilvl w:val="1"/>
          <w:numId w:val="30"/>
        </w:numPr>
        <w:spacing w:line="252" w:lineRule="auto"/>
        <w:rPr>
          <w:rFonts w:eastAsia="Times New Roman" w:cstheme="minorHAnsi"/>
          <w:highlight w:val="yellow"/>
        </w:rPr>
      </w:pPr>
      <w:r w:rsidRPr="00FD3362">
        <w:rPr>
          <w:rFonts w:eastAsia="Times New Roman" w:cstheme="minorHAnsi"/>
          <w:highlight w:val="yellow"/>
        </w:rPr>
        <w:t>Regular UI (including UCFE, UCX)</w:t>
      </w:r>
    </w:p>
    <w:p w14:paraId="5F8971C4" w14:textId="77777777" w:rsidR="00072338" w:rsidRPr="00FD3362" w:rsidRDefault="00072338" w:rsidP="00072338">
      <w:pPr>
        <w:pStyle w:val="ListParagraph"/>
        <w:numPr>
          <w:ilvl w:val="1"/>
          <w:numId w:val="30"/>
        </w:numPr>
        <w:spacing w:line="252" w:lineRule="auto"/>
        <w:rPr>
          <w:rFonts w:eastAsia="Times New Roman" w:cstheme="minorHAnsi"/>
          <w:highlight w:val="yellow"/>
        </w:rPr>
      </w:pPr>
      <w:r w:rsidRPr="00FD3362">
        <w:rPr>
          <w:rFonts w:eastAsia="Times New Roman" w:cstheme="minorHAnsi"/>
          <w:highlight w:val="yellow"/>
        </w:rPr>
        <w:t>Pandemic Emergency Unemployment Compensation (PEUC)</w:t>
      </w:r>
    </w:p>
    <w:p w14:paraId="36DE4B5D" w14:textId="77777777" w:rsidR="00072338" w:rsidRPr="00FD3362" w:rsidRDefault="00072338" w:rsidP="00072338">
      <w:pPr>
        <w:pStyle w:val="ListParagraph"/>
        <w:numPr>
          <w:ilvl w:val="1"/>
          <w:numId w:val="30"/>
        </w:numPr>
        <w:spacing w:line="252" w:lineRule="auto"/>
        <w:rPr>
          <w:rFonts w:eastAsia="Times New Roman" w:cstheme="minorHAnsi"/>
          <w:highlight w:val="yellow"/>
        </w:rPr>
      </w:pPr>
      <w:r w:rsidRPr="00FD3362">
        <w:rPr>
          <w:rFonts w:eastAsia="Times New Roman" w:cstheme="minorHAnsi"/>
          <w:highlight w:val="yellow"/>
        </w:rPr>
        <w:t>Pandemic Unemployment Assistance (PUA)</w:t>
      </w:r>
    </w:p>
    <w:p w14:paraId="08FDFC7D" w14:textId="77777777" w:rsidR="00072338" w:rsidRPr="00FD3362" w:rsidRDefault="00072338" w:rsidP="00072338">
      <w:pPr>
        <w:pStyle w:val="ListParagraph"/>
        <w:numPr>
          <w:ilvl w:val="1"/>
          <w:numId w:val="30"/>
        </w:numPr>
        <w:spacing w:line="252" w:lineRule="auto"/>
        <w:rPr>
          <w:rFonts w:eastAsia="Times New Roman" w:cstheme="minorHAnsi"/>
          <w:highlight w:val="yellow"/>
        </w:rPr>
      </w:pPr>
      <w:r w:rsidRPr="00FD3362">
        <w:rPr>
          <w:rFonts w:eastAsia="Times New Roman" w:cstheme="minorHAnsi"/>
          <w:highlight w:val="yellow"/>
        </w:rPr>
        <w:t>Extended Benefits (EB)</w:t>
      </w:r>
    </w:p>
    <w:p w14:paraId="12CC08C0" w14:textId="77777777" w:rsidR="00072338" w:rsidRPr="00FD3362" w:rsidRDefault="00072338" w:rsidP="00072338">
      <w:pPr>
        <w:pStyle w:val="ListParagraph"/>
        <w:numPr>
          <w:ilvl w:val="1"/>
          <w:numId w:val="30"/>
        </w:numPr>
        <w:spacing w:line="252" w:lineRule="auto"/>
        <w:rPr>
          <w:rFonts w:eastAsia="Times New Roman" w:cstheme="minorHAnsi"/>
          <w:highlight w:val="yellow"/>
        </w:rPr>
      </w:pPr>
      <w:r w:rsidRPr="00FD3362">
        <w:rPr>
          <w:rFonts w:eastAsia="Times New Roman" w:cstheme="minorHAnsi"/>
          <w:highlight w:val="yellow"/>
        </w:rPr>
        <w:t>Short-time Compensation (</w:t>
      </w:r>
      <w:proofErr w:type="spellStart"/>
      <w:r w:rsidRPr="00FD3362">
        <w:rPr>
          <w:rFonts w:eastAsia="Times New Roman" w:cstheme="minorHAnsi"/>
          <w:highlight w:val="yellow"/>
        </w:rPr>
        <w:t>SharedWork</w:t>
      </w:r>
      <w:proofErr w:type="spellEnd"/>
      <w:r w:rsidRPr="00FD3362">
        <w:rPr>
          <w:rFonts w:eastAsia="Times New Roman" w:cstheme="minorHAnsi"/>
          <w:highlight w:val="yellow"/>
        </w:rPr>
        <w:t xml:space="preserve">) </w:t>
      </w:r>
    </w:p>
    <w:p w14:paraId="38787036" w14:textId="77777777" w:rsidR="00072338" w:rsidRPr="00FD3362" w:rsidRDefault="00072338" w:rsidP="00072338">
      <w:pPr>
        <w:pStyle w:val="ListParagraph"/>
        <w:numPr>
          <w:ilvl w:val="1"/>
          <w:numId w:val="30"/>
        </w:numPr>
        <w:spacing w:line="252" w:lineRule="auto"/>
        <w:rPr>
          <w:rFonts w:eastAsia="Times New Roman" w:cstheme="minorHAnsi"/>
          <w:highlight w:val="yellow"/>
        </w:rPr>
      </w:pPr>
      <w:r w:rsidRPr="00FD3362">
        <w:rPr>
          <w:rFonts w:eastAsia="Times New Roman" w:cstheme="minorHAnsi"/>
          <w:highlight w:val="yellow"/>
        </w:rPr>
        <w:t>Trade Readjustment Allowances (TRA)</w:t>
      </w:r>
    </w:p>
    <w:p w14:paraId="7F75A5E0" w14:textId="77777777" w:rsidR="00072338" w:rsidRPr="00FD3362" w:rsidRDefault="00072338" w:rsidP="00072338">
      <w:pPr>
        <w:pStyle w:val="ListParagraph"/>
        <w:numPr>
          <w:ilvl w:val="1"/>
          <w:numId w:val="30"/>
        </w:numPr>
        <w:spacing w:line="252" w:lineRule="auto"/>
        <w:rPr>
          <w:rFonts w:eastAsia="Times New Roman" w:cstheme="minorHAnsi"/>
          <w:highlight w:val="yellow"/>
        </w:rPr>
      </w:pPr>
      <w:r w:rsidRPr="00FD3362">
        <w:rPr>
          <w:rFonts w:eastAsia="Times New Roman" w:cstheme="minorHAnsi"/>
          <w:highlight w:val="yellow"/>
        </w:rPr>
        <w:t xml:space="preserve">Disaster Unemployment Assistance (DUA) </w:t>
      </w:r>
    </w:p>
    <w:p w14:paraId="5F696F8B" w14:textId="77777777" w:rsidR="00072338" w:rsidRPr="00FD3362" w:rsidRDefault="00072338" w:rsidP="00072338">
      <w:pPr>
        <w:pStyle w:val="ListParagraph"/>
        <w:numPr>
          <w:ilvl w:val="1"/>
          <w:numId w:val="30"/>
        </w:numPr>
        <w:spacing w:line="252" w:lineRule="auto"/>
        <w:rPr>
          <w:rFonts w:eastAsia="Times New Roman" w:cstheme="minorHAnsi"/>
          <w:highlight w:val="yellow"/>
        </w:rPr>
      </w:pPr>
      <w:r w:rsidRPr="00FD3362">
        <w:rPr>
          <w:rFonts w:eastAsia="Times New Roman" w:cstheme="minorHAnsi"/>
          <w:highlight w:val="yellow"/>
        </w:rPr>
        <w:t>Self-employment Assistance Program (SEAP)</w:t>
      </w:r>
    </w:p>
    <w:p w14:paraId="0BA526B9" w14:textId="035A3B75" w:rsidR="00072338" w:rsidRPr="00FD3362" w:rsidRDefault="00072338" w:rsidP="00072338">
      <w:pPr>
        <w:ind w:left="1080"/>
        <w:rPr>
          <w:rFonts w:cstheme="minorHAnsi"/>
          <w:highlight w:val="yellow"/>
        </w:rPr>
      </w:pPr>
      <w:r w:rsidRPr="00FD3362">
        <w:rPr>
          <w:rFonts w:cstheme="minorHAnsi"/>
          <w:highlight w:val="yellow"/>
        </w:rPr>
        <w:t>Note: FPUC is not payable on Training Benefits (TB) because it is a state program.</w:t>
      </w:r>
    </w:p>
    <w:p w14:paraId="59CB3EE1" w14:textId="77777777" w:rsidR="00072338" w:rsidRPr="00FD3362" w:rsidRDefault="00072338" w:rsidP="00072338">
      <w:pPr>
        <w:pStyle w:val="ListParagraph"/>
        <w:numPr>
          <w:ilvl w:val="0"/>
          <w:numId w:val="32"/>
        </w:numPr>
        <w:spacing w:line="252" w:lineRule="auto"/>
        <w:rPr>
          <w:rFonts w:eastAsia="Times New Roman" w:cstheme="minorHAnsi"/>
          <w:highlight w:val="yellow"/>
        </w:rPr>
      </w:pPr>
      <w:r w:rsidRPr="00FD3362">
        <w:rPr>
          <w:rFonts w:eastAsia="Times New Roman" w:cstheme="minorHAnsi"/>
          <w:highlight w:val="yellow"/>
        </w:rPr>
        <w:t xml:space="preserve">It is payable for weeks ending 4/4/20 through 7/25/20. </w:t>
      </w:r>
    </w:p>
    <w:p w14:paraId="65381600" w14:textId="77777777" w:rsidR="00072338" w:rsidRPr="00FD3362" w:rsidRDefault="00072338" w:rsidP="00072338">
      <w:pPr>
        <w:pStyle w:val="ListParagraph"/>
        <w:numPr>
          <w:ilvl w:val="0"/>
          <w:numId w:val="32"/>
        </w:numPr>
        <w:spacing w:line="252" w:lineRule="auto"/>
        <w:rPr>
          <w:rFonts w:eastAsia="Times New Roman" w:cstheme="minorHAnsi"/>
          <w:highlight w:val="yellow"/>
        </w:rPr>
      </w:pPr>
      <w:r w:rsidRPr="00FD3362">
        <w:rPr>
          <w:rFonts w:eastAsia="Times New Roman" w:cstheme="minorHAnsi"/>
          <w:highlight w:val="yellow"/>
        </w:rPr>
        <w:t xml:space="preserve">Claimants do not have to apply to receive the additional payment amount. It is automatically added to eligible weekly claims.  </w:t>
      </w:r>
    </w:p>
    <w:p w14:paraId="33B0FD28" w14:textId="77777777" w:rsidR="00072338" w:rsidRPr="00FD3362" w:rsidRDefault="00072338" w:rsidP="00072338">
      <w:pPr>
        <w:pStyle w:val="ListParagraph"/>
        <w:numPr>
          <w:ilvl w:val="0"/>
          <w:numId w:val="32"/>
        </w:numPr>
        <w:spacing w:line="252" w:lineRule="auto"/>
        <w:rPr>
          <w:rFonts w:eastAsia="Times New Roman" w:cstheme="minorHAnsi"/>
          <w:highlight w:val="yellow"/>
        </w:rPr>
      </w:pPr>
      <w:r w:rsidRPr="00FD3362">
        <w:rPr>
          <w:rFonts w:eastAsia="Times New Roman" w:cstheme="minorHAnsi"/>
          <w:highlight w:val="yellow"/>
        </w:rPr>
        <w:t xml:space="preserve">Payments are retroactive to the first eligible week once UTAB is updated to accommodate the program. </w:t>
      </w:r>
    </w:p>
    <w:p w14:paraId="27ECA460" w14:textId="77777777" w:rsidR="00072338" w:rsidRPr="00FD3362" w:rsidRDefault="00072338" w:rsidP="00072338">
      <w:pPr>
        <w:pStyle w:val="ListParagraph"/>
        <w:numPr>
          <w:ilvl w:val="0"/>
          <w:numId w:val="32"/>
        </w:numPr>
        <w:spacing w:line="252" w:lineRule="auto"/>
        <w:rPr>
          <w:rFonts w:eastAsia="Times New Roman" w:cstheme="minorHAnsi"/>
          <w:highlight w:val="yellow"/>
        </w:rPr>
      </w:pPr>
      <w:r w:rsidRPr="00FD3362">
        <w:rPr>
          <w:rFonts w:eastAsia="Times New Roman" w:cstheme="minorHAnsi"/>
          <w:highlight w:val="yellow"/>
        </w:rPr>
        <w:t xml:space="preserve">It will pay $600 in addition to the weekly benefit amount if claimants are eligible for at least $1 of underlying benefits after deductions. For example, claimants eligible for $1 after deductions will receive a payment of $601. </w:t>
      </w:r>
    </w:p>
    <w:p w14:paraId="2FBD6D51" w14:textId="77777777" w:rsidR="00072338" w:rsidRPr="00FD3362" w:rsidRDefault="00072338" w:rsidP="00406BA2">
      <w:pPr>
        <w:spacing w:after="0"/>
        <w:rPr>
          <w:rFonts w:cstheme="minorHAnsi"/>
          <w:b/>
          <w:bCs/>
          <w:highlight w:val="yellow"/>
        </w:rPr>
      </w:pPr>
      <w:r w:rsidRPr="00FD3362">
        <w:rPr>
          <w:rFonts w:cstheme="minorHAnsi"/>
          <w:b/>
          <w:bCs/>
          <w:highlight w:val="yellow"/>
        </w:rPr>
        <w:t>Deductions from FPUC</w:t>
      </w:r>
    </w:p>
    <w:p w14:paraId="111780D7" w14:textId="77777777" w:rsidR="00072338" w:rsidRPr="00FD3362" w:rsidRDefault="00072338" w:rsidP="00072338">
      <w:pPr>
        <w:pStyle w:val="ListParagraph"/>
        <w:numPr>
          <w:ilvl w:val="0"/>
          <w:numId w:val="31"/>
        </w:numPr>
        <w:spacing w:line="252" w:lineRule="auto"/>
        <w:rPr>
          <w:rFonts w:eastAsia="Times New Roman" w:cstheme="minorHAnsi"/>
          <w:highlight w:val="yellow"/>
        </w:rPr>
      </w:pPr>
      <w:r w:rsidRPr="00FD3362">
        <w:rPr>
          <w:rFonts w:eastAsia="Times New Roman" w:cstheme="minorHAnsi"/>
          <w:highlight w:val="yellow"/>
        </w:rPr>
        <w:t>Earnings and one-seventh and two-sevenths deductions for availability are not deductible from the $600 FPUC payment. Claimants who are not eligible for at least $1 in underlying benefits will not receive FPUC.</w:t>
      </w:r>
    </w:p>
    <w:p w14:paraId="4DB6655D" w14:textId="77777777" w:rsidR="00072338" w:rsidRPr="00FD3362" w:rsidRDefault="00072338" w:rsidP="00072338">
      <w:pPr>
        <w:pStyle w:val="ListParagraph"/>
        <w:numPr>
          <w:ilvl w:val="0"/>
          <w:numId w:val="31"/>
        </w:numPr>
        <w:spacing w:line="252" w:lineRule="auto"/>
        <w:rPr>
          <w:rFonts w:eastAsia="Times New Roman" w:cstheme="minorHAnsi"/>
          <w:highlight w:val="yellow"/>
        </w:rPr>
      </w:pPr>
      <w:r w:rsidRPr="00FD3362">
        <w:rPr>
          <w:rFonts w:eastAsia="Times New Roman" w:cstheme="minorHAnsi"/>
          <w:highlight w:val="yellow"/>
        </w:rPr>
        <w:t>Child support is deductible from the $600.</w:t>
      </w:r>
    </w:p>
    <w:p w14:paraId="695B6F88" w14:textId="77777777" w:rsidR="00072338" w:rsidRPr="00FD3362" w:rsidRDefault="00072338" w:rsidP="00072338">
      <w:pPr>
        <w:pStyle w:val="ListParagraph"/>
        <w:numPr>
          <w:ilvl w:val="0"/>
          <w:numId w:val="31"/>
        </w:numPr>
        <w:spacing w:line="252" w:lineRule="auto"/>
        <w:rPr>
          <w:rFonts w:eastAsia="Times New Roman" w:cstheme="minorHAnsi"/>
          <w:highlight w:val="yellow"/>
        </w:rPr>
      </w:pPr>
      <w:r w:rsidRPr="00FD3362">
        <w:rPr>
          <w:rFonts w:eastAsia="Times New Roman" w:cstheme="minorHAnsi"/>
          <w:highlight w:val="yellow"/>
        </w:rPr>
        <w:t>FPUC is taxable. Claimants can choose to have 10% withheld for taxes.</w:t>
      </w:r>
    </w:p>
    <w:p w14:paraId="73D2B0EF" w14:textId="77777777" w:rsidR="00072338" w:rsidRPr="00FD3362" w:rsidRDefault="00072338" w:rsidP="00072338">
      <w:pPr>
        <w:pStyle w:val="ListParagraph"/>
        <w:numPr>
          <w:ilvl w:val="0"/>
          <w:numId w:val="31"/>
        </w:numPr>
        <w:spacing w:line="252" w:lineRule="auto"/>
        <w:rPr>
          <w:rFonts w:eastAsia="Times New Roman" w:cstheme="minorHAnsi"/>
          <w:highlight w:val="yellow"/>
        </w:rPr>
      </w:pPr>
      <w:r w:rsidRPr="00FD3362">
        <w:rPr>
          <w:rFonts w:eastAsia="Times New Roman" w:cstheme="minorHAnsi"/>
          <w:highlight w:val="yellow"/>
        </w:rPr>
        <w:t>FPUC can be used to offset overpayments, but no more than 50% of the FPUC payment can be used. For example:</w:t>
      </w:r>
    </w:p>
    <w:p w14:paraId="74DABCAE" w14:textId="77777777" w:rsidR="00072338" w:rsidRPr="00FD3362" w:rsidRDefault="00072338" w:rsidP="00072338">
      <w:pPr>
        <w:pStyle w:val="ListParagraph"/>
        <w:numPr>
          <w:ilvl w:val="0"/>
          <w:numId w:val="33"/>
        </w:numPr>
        <w:spacing w:after="0" w:line="240" w:lineRule="auto"/>
        <w:ind w:left="1440"/>
        <w:rPr>
          <w:rFonts w:cstheme="minorHAnsi"/>
          <w:highlight w:val="yellow"/>
        </w:rPr>
      </w:pPr>
      <w:r w:rsidRPr="00FD3362">
        <w:rPr>
          <w:rFonts w:cstheme="minorHAnsi"/>
          <w:highlight w:val="yellow"/>
        </w:rPr>
        <w:t xml:space="preserve">Claimant’s WBA is $600, FPUC is $600. </w:t>
      </w:r>
    </w:p>
    <w:p w14:paraId="068542CB" w14:textId="77777777" w:rsidR="00072338" w:rsidRPr="00FD3362" w:rsidRDefault="00072338" w:rsidP="00072338">
      <w:pPr>
        <w:pStyle w:val="ListParagraph"/>
        <w:numPr>
          <w:ilvl w:val="0"/>
          <w:numId w:val="33"/>
        </w:numPr>
        <w:spacing w:after="0" w:line="240" w:lineRule="auto"/>
        <w:ind w:left="1440"/>
        <w:rPr>
          <w:rFonts w:cstheme="minorHAnsi"/>
          <w:highlight w:val="yellow"/>
        </w:rPr>
      </w:pPr>
      <w:r w:rsidRPr="00FD3362">
        <w:rPr>
          <w:rFonts w:cstheme="minorHAnsi"/>
          <w:highlight w:val="yellow"/>
        </w:rPr>
        <w:t>Overpayment balance is $3000.</w:t>
      </w:r>
    </w:p>
    <w:p w14:paraId="416028A8" w14:textId="77777777" w:rsidR="00072338" w:rsidRPr="00FD3362" w:rsidRDefault="00072338" w:rsidP="00072338">
      <w:pPr>
        <w:pStyle w:val="ListParagraph"/>
        <w:numPr>
          <w:ilvl w:val="0"/>
          <w:numId w:val="33"/>
        </w:numPr>
        <w:spacing w:after="0" w:line="240" w:lineRule="auto"/>
        <w:ind w:left="1440"/>
        <w:rPr>
          <w:rFonts w:cstheme="minorHAnsi"/>
          <w:highlight w:val="yellow"/>
        </w:rPr>
      </w:pPr>
      <w:r w:rsidRPr="00FD3362">
        <w:rPr>
          <w:rFonts w:cstheme="minorHAnsi"/>
          <w:highlight w:val="yellow"/>
        </w:rPr>
        <w:t>Claimant only has $1200 remaining balance of regular benefits.</w:t>
      </w:r>
    </w:p>
    <w:p w14:paraId="210496BD" w14:textId="77777777" w:rsidR="00072338" w:rsidRPr="00FD3362" w:rsidRDefault="00072338" w:rsidP="00072338">
      <w:pPr>
        <w:pStyle w:val="ListParagraph"/>
        <w:numPr>
          <w:ilvl w:val="0"/>
          <w:numId w:val="33"/>
        </w:numPr>
        <w:spacing w:after="0" w:line="240" w:lineRule="auto"/>
        <w:ind w:left="1440"/>
        <w:rPr>
          <w:rFonts w:cstheme="minorHAnsi"/>
          <w:highlight w:val="yellow"/>
        </w:rPr>
      </w:pPr>
      <w:r w:rsidRPr="00FD3362">
        <w:rPr>
          <w:rFonts w:cstheme="minorHAnsi"/>
          <w:highlight w:val="yellow"/>
        </w:rPr>
        <w:t xml:space="preserve">We can offset at 100% of the WBA because the balance available is equal to or less than the balance of the overpayment. </w:t>
      </w:r>
    </w:p>
    <w:p w14:paraId="4E25CB7C" w14:textId="183B878B" w:rsidR="00072338" w:rsidRPr="00FD3362" w:rsidRDefault="00072338" w:rsidP="00C8591E">
      <w:pPr>
        <w:pStyle w:val="ListParagraph"/>
        <w:numPr>
          <w:ilvl w:val="0"/>
          <w:numId w:val="33"/>
        </w:numPr>
        <w:spacing w:line="252" w:lineRule="auto"/>
        <w:ind w:left="1440"/>
        <w:rPr>
          <w:rFonts w:cstheme="minorHAnsi"/>
          <w:b/>
          <w:bCs/>
          <w:highlight w:val="yellow"/>
        </w:rPr>
      </w:pPr>
      <w:r w:rsidRPr="00FD3362">
        <w:rPr>
          <w:rFonts w:cstheme="minorHAnsi"/>
          <w:highlight w:val="yellow"/>
        </w:rPr>
        <w:lastRenderedPageBreak/>
        <w:t>We can offset $600 from the regular benefits but no more than $300 from the FPUC, to equal an offset of $900. The claimant still gets a check for $300.</w:t>
      </w:r>
      <w:r w:rsidRPr="00FD3362">
        <w:rPr>
          <w:rFonts w:cstheme="minorHAnsi"/>
          <w:b/>
          <w:bCs/>
          <w:highlight w:val="yellow"/>
        </w:rPr>
        <w:t xml:space="preserve"> </w:t>
      </w:r>
    </w:p>
    <w:p w14:paraId="55E10180" w14:textId="1ADA9EE2" w:rsidR="00072338" w:rsidRPr="00FD3362" w:rsidRDefault="00072338" w:rsidP="00DF119F">
      <w:pPr>
        <w:spacing w:after="0"/>
        <w:rPr>
          <w:rFonts w:cstheme="minorHAnsi"/>
          <w:highlight w:val="yellow"/>
        </w:rPr>
      </w:pPr>
      <w:r w:rsidRPr="00FD3362">
        <w:rPr>
          <w:rFonts w:cstheme="minorHAnsi"/>
          <w:b/>
          <w:bCs/>
          <w:highlight w:val="yellow"/>
        </w:rPr>
        <w:t xml:space="preserve">Other </w:t>
      </w:r>
      <w:proofErr w:type="spellStart"/>
      <w:r w:rsidRPr="00FD3362">
        <w:rPr>
          <w:rFonts w:cstheme="minorHAnsi"/>
          <w:b/>
          <w:bCs/>
          <w:highlight w:val="yellow"/>
        </w:rPr>
        <w:t>information</w:t>
      </w:r>
      <w:bookmarkStart w:id="1" w:name="_Hlk37145824"/>
      <w:r w:rsidRPr="00FD3362">
        <w:rPr>
          <w:rFonts w:cstheme="minorHAnsi"/>
          <w:highlight w:val="yellow"/>
        </w:rPr>
        <w:t>Under</w:t>
      </w:r>
      <w:proofErr w:type="spellEnd"/>
      <w:r w:rsidRPr="00FD3362">
        <w:rPr>
          <w:rFonts w:cstheme="minorHAnsi"/>
          <w:highlight w:val="yellow"/>
        </w:rPr>
        <w:t xml:space="preserve"> the CARES Act, quitting work </w:t>
      </w:r>
      <w:r w:rsidRPr="00FD3362">
        <w:rPr>
          <w:rFonts w:cstheme="minorHAnsi"/>
          <w:b/>
          <w:bCs/>
          <w:highlight w:val="yellow"/>
        </w:rPr>
        <w:t>just to obtain FPUC benefits</w:t>
      </w:r>
      <w:r w:rsidRPr="00FD3362">
        <w:rPr>
          <w:rFonts w:cstheme="minorHAnsi"/>
          <w:highlight w:val="yellow"/>
        </w:rPr>
        <w:t xml:space="preserve"> is not good cause and considered fraud. This does not apply to regular quits without good cause. You must assess fraud on this quit decision. </w:t>
      </w:r>
    </w:p>
    <w:p w14:paraId="500DF661" w14:textId="77777777" w:rsidR="00DF119F" w:rsidRPr="00FD3362" w:rsidRDefault="00DF119F" w:rsidP="00DF119F">
      <w:pPr>
        <w:spacing w:after="0"/>
        <w:rPr>
          <w:rFonts w:cstheme="minorHAnsi"/>
          <w:highlight w:val="yellow"/>
        </w:rPr>
      </w:pPr>
    </w:p>
    <w:bookmarkEnd w:id="1"/>
    <w:p w14:paraId="6754A39F" w14:textId="3ECBA7F4" w:rsidR="00072338" w:rsidRPr="00FD3362" w:rsidRDefault="00072338" w:rsidP="00072338">
      <w:pPr>
        <w:rPr>
          <w:rFonts w:cstheme="minorHAnsi"/>
          <w:highlight w:val="yellow"/>
        </w:rPr>
      </w:pPr>
      <w:r w:rsidRPr="00FD3362">
        <w:rPr>
          <w:rFonts w:cstheme="minorHAnsi"/>
          <w:highlight w:val="yellow"/>
        </w:rPr>
        <w:t>If fraud is committed on any underlying issue for a week that claimants receive FPUC, they are denied benefits the same as any other fraud issue.</w:t>
      </w:r>
    </w:p>
    <w:p w14:paraId="35160772" w14:textId="77777777" w:rsidR="00072338" w:rsidRPr="00FD3362" w:rsidRDefault="00072338" w:rsidP="00DF119F">
      <w:pPr>
        <w:spacing w:after="0"/>
        <w:rPr>
          <w:rFonts w:cstheme="minorHAnsi"/>
          <w:b/>
          <w:bCs/>
          <w:highlight w:val="yellow"/>
        </w:rPr>
      </w:pPr>
      <w:r w:rsidRPr="00FD3362">
        <w:rPr>
          <w:rFonts w:cstheme="minorHAnsi"/>
          <w:b/>
          <w:bCs/>
          <w:highlight w:val="yellow"/>
        </w:rPr>
        <w:t>Can they appeal not receiving FPUC?</w:t>
      </w:r>
    </w:p>
    <w:p w14:paraId="10098B3F" w14:textId="05AC5B3E" w:rsidR="00072338" w:rsidRPr="00FD3362" w:rsidRDefault="00072338" w:rsidP="00072338">
      <w:pPr>
        <w:rPr>
          <w:rFonts w:cstheme="minorHAnsi"/>
          <w:highlight w:val="yellow"/>
        </w:rPr>
      </w:pPr>
      <w:r w:rsidRPr="00FD3362">
        <w:rPr>
          <w:rFonts w:cstheme="minorHAnsi"/>
          <w:highlight w:val="yellow"/>
        </w:rPr>
        <w:t xml:space="preserve">No. Ineligibility for FPUC alone is not appealable since claimants aren’t eligible for FPUC without underlying benefits. If claimants disagree with the denial of FPUC, they must file an appeal on the underlying denied issue.  </w:t>
      </w:r>
    </w:p>
    <w:p w14:paraId="592FAD54" w14:textId="77777777" w:rsidR="00072338" w:rsidRPr="00FD3362" w:rsidRDefault="00072338" w:rsidP="00DF119F">
      <w:pPr>
        <w:spacing w:after="0"/>
        <w:rPr>
          <w:rFonts w:cstheme="minorHAnsi"/>
          <w:b/>
          <w:bCs/>
          <w:highlight w:val="yellow"/>
        </w:rPr>
      </w:pPr>
      <w:r w:rsidRPr="00FD3362">
        <w:rPr>
          <w:rFonts w:cstheme="minorHAnsi"/>
          <w:b/>
          <w:bCs/>
          <w:highlight w:val="yellow"/>
        </w:rPr>
        <w:t>Overpayments</w:t>
      </w:r>
    </w:p>
    <w:p w14:paraId="05CF7D5B" w14:textId="40350A4D" w:rsidR="00072338" w:rsidRPr="00FD3362" w:rsidRDefault="00072338" w:rsidP="00072338">
      <w:pPr>
        <w:rPr>
          <w:rFonts w:cstheme="minorHAnsi"/>
          <w:highlight w:val="yellow"/>
        </w:rPr>
      </w:pPr>
      <w:r w:rsidRPr="00FD3362">
        <w:rPr>
          <w:rFonts w:cstheme="minorHAnsi"/>
          <w:highlight w:val="yellow"/>
        </w:rPr>
        <w:t>Overpayments for FPUC may be waived using the same equity and good conscience considerations as regular UI overpayments.</w:t>
      </w:r>
    </w:p>
    <w:p w14:paraId="0408BF63" w14:textId="77777777" w:rsidR="00072338" w:rsidRPr="00FD3362" w:rsidRDefault="00072338" w:rsidP="00DF119F">
      <w:pPr>
        <w:spacing w:after="0"/>
        <w:rPr>
          <w:rFonts w:cstheme="minorHAnsi"/>
          <w:b/>
          <w:bCs/>
          <w:highlight w:val="yellow"/>
        </w:rPr>
      </w:pPr>
      <w:r w:rsidRPr="00FD3362">
        <w:rPr>
          <w:rFonts w:cstheme="minorHAnsi"/>
          <w:b/>
          <w:bCs/>
          <w:highlight w:val="yellow"/>
        </w:rPr>
        <w:t>Does it affect experience rating?</w:t>
      </w:r>
    </w:p>
    <w:p w14:paraId="3E972478" w14:textId="79C67B5A" w:rsidR="00072338" w:rsidRDefault="00072338" w:rsidP="00406BA2">
      <w:pPr>
        <w:rPr>
          <w:rFonts w:cstheme="minorHAnsi"/>
        </w:rPr>
      </w:pPr>
      <w:r w:rsidRPr="00FD3362">
        <w:rPr>
          <w:rFonts w:cstheme="minorHAnsi"/>
          <w:highlight w:val="yellow"/>
        </w:rPr>
        <w:t>No. FPUC is 100% federally funded. Employers are not charged for FPUC.</w:t>
      </w:r>
    </w:p>
    <w:p w14:paraId="4E772035" w14:textId="77777777" w:rsidR="000838F1" w:rsidRPr="00406BA2" w:rsidRDefault="000838F1" w:rsidP="00406BA2">
      <w:pPr>
        <w:rPr>
          <w:rFonts w:cstheme="minorHAnsi"/>
        </w:rPr>
      </w:pPr>
    </w:p>
    <w:p w14:paraId="7B162E71" w14:textId="00FF4451" w:rsidR="00632A5F" w:rsidRDefault="00EA6C1E" w:rsidP="001B5675">
      <w:pPr>
        <w:pStyle w:val="ListParagraph"/>
        <w:numPr>
          <w:ilvl w:val="0"/>
          <w:numId w:val="1"/>
        </w:numPr>
      </w:pPr>
      <w:r>
        <w:t xml:space="preserve">Tickets into production </w:t>
      </w:r>
      <w:r w:rsidR="00357DCD">
        <w:t>–</w:t>
      </w:r>
      <w:r w:rsidR="00F10F3C">
        <w:t xml:space="preserve"> </w:t>
      </w:r>
      <w:r w:rsidR="00406BA2">
        <w:t>tonight after business hours</w:t>
      </w:r>
    </w:p>
    <w:p w14:paraId="6AFFAC8A" w14:textId="77BD09A0" w:rsidR="00406BA2" w:rsidRPr="00406BA2" w:rsidRDefault="00086463" w:rsidP="00086463">
      <w:pPr>
        <w:pStyle w:val="ListParagraph"/>
        <w:numPr>
          <w:ilvl w:val="1"/>
          <w:numId w:val="1"/>
        </w:numPr>
      </w:pPr>
      <w:r>
        <w:t>NAIC values</w:t>
      </w:r>
      <w:r w:rsidR="00406BA2">
        <w:t xml:space="preserve"> list</w:t>
      </w:r>
      <w:r>
        <w:t xml:space="preserve"> </w:t>
      </w:r>
      <w:r w:rsidR="00406BA2">
        <w:t xml:space="preserve">in WSWA will be </w:t>
      </w:r>
      <w:r>
        <w:t xml:space="preserve">updated from </w:t>
      </w:r>
      <w:r w:rsidR="00DF119F">
        <w:t xml:space="preserve">the </w:t>
      </w:r>
      <w:r>
        <w:t xml:space="preserve">2012 list </w:t>
      </w:r>
      <w:r w:rsidRPr="00DF119F">
        <w:rPr>
          <w:rFonts w:cstheme="minorHAnsi"/>
        </w:rPr>
        <w:t>to 2017</w:t>
      </w:r>
      <w:r w:rsidR="00406BA2" w:rsidRPr="00DF119F">
        <w:rPr>
          <w:rFonts w:cstheme="minorHAnsi"/>
        </w:rPr>
        <w:t xml:space="preserve"> </w:t>
      </w:r>
      <w:r w:rsidR="00DF119F" w:rsidRPr="00DF119F">
        <w:rPr>
          <w:rFonts w:cstheme="minorHAnsi"/>
        </w:rPr>
        <w:t>list</w:t>
      </w:r>
    </w:p>
    <w:p w14:paraId="2DE6D3AE" w14:textId="4282E917" w:rsidR="00086463" w:rsidRPr="00DF119F" w:rsidRDefault="00406BA2" w:rsidP="00086463">
      <w:pPr>
        <w:pStyle w:val="ListParagraph"/>
        <w:numPr>
          <w:ilvl w:val="1"/>
          <w:numId w:val="1"/>
        </w:numPr>
        <w:rPr>
          <w:rFonts w:cstheme="minorHAnsi"/>
        </w:rPr>
      </w:pPr>
      <w:r w:rsidRPr="00406BA2">
        <w:rPr>
          <w:rFonts w:cstheme="minorHAnsi"/>
        </w:rPr>
        <w:t>What does this update mean to WSWA?</w:t>
      </w:r>
      <w:r w:rsidRPr="00406BA2">
        <w:rPr>
          <w:rFonts w:cstheme="minorHAnsi"/>
        </w:rPr>
        <w:br/>
        <w:t>There are 380 existing WSWA companies be impacted because the NAICS code they use is being REPLACED. This represents approximately 1% of WSWA Hiring companies. When one of these existing employers EDITS their account info or an existing job posting, they will be required to enter a new NAICS code.</w:t>
      </w:r>
      <w:r w:rsidR="00DF119F">
        <w:rPr>
          <w:rFonts w:cstheme="minorHAnsi"/>
        </w:rPr>
        <w:t xml:space="preserve"> </w:t>
      </w:r>
      <w:r w:rsidRPr="00DF119F">
        <w:rPr>
          <w:rFonts w:cstheme="minorHAnsi"/>
        </w:rPr>
        <w:t>For any NEW accounts created or jobs posted, the NAICS/Company Industry dropdown will present only the new 2017 NAICS codes.</w:t>
      </w:r>
    </w:p>
    <w:p w14:paraId="68A3D5DB" w14:textId="0A2A9EEE" w:rsidR="00746CCB" w:rsidRDefault="00632A5F" w:rsidP="00746CCB">
      <w:pPr>
        <w:pStyle w:val="ListParagraph"/>
        <w:numPr>
          <w:ilvl w:val="0"/>
          <w:numId w:val="1"/>
        </w:numPr>
      </w:pPr>
      <w:r>
        <w:t xml:space="preserve">ETO Maintenance </w:t>
      </w:r>
      <w:r w:rsidR="00F6040C">
        <w:t xml:space="preserve">– </w:t>
      </w:r>
      <w:r w:rsidR="00F50F4C">
        <w:t>April 18-19, 2020</w:t>
      </w:r>
      <w:r w:rsidR="00086463">
        <w:t xml:space="preserve"> 6pm Saturday to 3am Sunday</w:t>
      </w:r>
    </w:p>
    <w:p w14:paraId="7E703083" w14:textId="33E11F7D" w:rsidR="00EE3BD8" w:rsidRDefault="00BE2822" w:rsidP="00746CCB">
      <w:pPr>
        <w:pStyle w:val="ListParagraph"/>
        <w:numPr>
          <w:ilvl w:val="0"/>
          <w:numId w:val="1"/>
        </w:numPr>
      </w:pPr>
      <w:r>
        <w:t>ETO Improvements</w:t>
      </w:r>
      <w:r w:rsidR="009A21EE">
        <w:t xml:space="preserve"> – </w:t>
      </w:r>
      <w:r w:rsidR="00D77684">
        <w:t>none to report</w:t>
      </w:r>
    </w:p>
    <w:p w14:paraId="0480E87A" w14:textId="00757FCA" w:rsidR="004C0663" w:rsidRDefault="00A34CE7" w:rsidP="00BE2822">
      <w:pPr>
        <w:pStyle w:val="ListParagraph"/>
        <w:numPr>
          <w:ilvl w:val="0"/>
          <w:numId w:val="1"/>
        </w:numPr>
      </w:pPr>
      <w:r>
        <w:t>Training issue(s) of the week</w:t>
      </w:r>
      <w:r w:rsidR="00632A5F">
        <w:t xml:space="preserve"> </w:t>
      </w:r>
      <w:r w:rsidR="001B5675">
        <w:t xml:space="preserve">– </w:t>
      </w:r>
    </w:p>
    <w:p w14:paraId="36B42932" w14:textId="6829A699" w:rsidR="00086463" w:rsidRDefault="00086463" w:rsidP="00086463">
      <w:pPr>
        <w:pStyle w:val="ListParagraph"/>
        <w:numPr>
          <w:ilvl w:val="1"/>
          <w:numId w:val="1"/>
        </w:numPr>
      </w:pPr>
      <w:r>
        <w:t>CCWA</w:t>
      </w:r>
      <w:r w:rsidR="00DF119F">
        <w:t xml:space="preserve"> – program ended 3/31/2020. Waiting on decision from Grants management and Policy on process.</w:t>
      </w:r>
    </w:p>
    <w:p w14:paraId="113BA6FD" w14:textId="77777777" w:rsidR="00086463" w:rsidRDefault="00086463" w:rsidP="00086463">
      <w:pPr>
        <w:pStyle w:val="ListParagraph"/>
        <w:numPr>
          <w:ilvl w:val="0"/>
          <w:numId w:val="1"/>
        </w:numPr>
      </w:pPr>
      <w:r>
        <w:t>Cisco Softphones Webex and training material</w:t>
      </w:r>
    </w:p>
    <w:p w14:paraId="3881F919" w14:textId="4F1C99BB" w:rsidR="00086463" w:rsidRDefault="00086463" w:rsidP="00086463">
      <w:pPr>
        <w:pStyle w:val="ListParagraph"/>
        <w:numPr>
          <w:ilvl w:val="1"/>
          <w:numId w:val="1"/>
        </w:numPr>
      </w:pPr>
      <w:r>
        <w:t xml:space="preserve">Link </w:t>
      </w:r>
      <w:hyperlink r:id="rId11" w:history="1">
        <w:r w:rsidRPr="00142CE2">
          <w:rPr>
            <w:rStyle w:val="Hyperlink"/>
          </w:rPr>
          <w:t>http://insideesd.wa.gov/services/it-services</w:t>
        </w:r>
      </w:hyperlink>
      <w:r w:rsidRPr="00086463">
        <w:rPr>
          <w:noProof/>
        </w:rPr>
        <w:t xml:space="preserve"> </w:t>
      </w:r>
      <w:r>
        <w:rPr>
          <w:noProof/>
        </w:rPr>
        <w:drawing>
          <wp:inline distT="0" distB="0" distL="0" distR="0" wp14:anchorId="6BC27D43" wp14:editId="1F4C59C5">
            <wp:extent cx="5479063" cy="18176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058" cy="1845182"/>
                    </a:xfrm>
                    <a:prstGeom prst="rect">
                      <a:avLst/>
                    </a:prstGeom>
                  </pic:spPr>
                </pic:pic>
              </a:graphicData>
            </a:graphic>
          </wp:inline>
        </w:drawing>
      </w:r>
    </w:p>
    <w:p w14:paraId="6DFAA425" w14:textId="5E5525F0" w:rsidR="00767A83" w:rsidRDefault="00767A83" w:rsidP="00767A83">
      <w:pPr>
        <w:pStyle w:val="ListParagraph"/>
        <w:numPr>
          <w:ilvl w:val="0"/>
          <w:numId w:val="1"/>
        </w:numPr>
      </w:pPr>
      <w:r>
        <w:t xml:space="preserve">Stay up to date on COVID19, teleworking and WorkSource Virtual services </w:t>
      </w:r>
    </w:p>
    <w:p w14:paraId="4378244A" w14:textId="77777777" w:rsidR="00767A83" w:rsidRDefault="00A010CB" w:rsidP="00767A83">
      <w:pPr>
        <w:pStyle w:val="ListParagraph"/>
        <w:numPr>
          <w:ilvl w:val="1"/>
          <w:numId w:val="1"/>
        </w:numPr>
      </w:pPr>
      <w:hyperlink r:id="rId13" w:history="1">
        <w:r w:rsidR="00767A83" w:rsidRPr="004513F9">
          <w:rPr>
            <w:rStyle w:val="Hyperlink"/>
          </w:rPr>
          <w:t>WPC website</w:t>
        </w:r>
      </w:hyperlink>
      <w:r w:rsidR="00767A83">
        <w:t xml:space="preserve"> has information to help all WorkSource staff telework. </w:t>
      </w:r>
    </w:p>
    <w:p w14:paraId="731506AB" w14:textId="77777777" w:rsidR="00767A83" w:rsidRDefault="00767A83" w:rsidP="00767A83">
      <w:pPr>
        <w:pStyle w:val="ListParagraph"/>
        <w:numPr>
          <w:ilvl w:val="1"/>
          <w:numId w:val="1"/>
        </w:numPr>
      </w:pPr>
      <w:r>
        <w:t xml:space="preserve">IT service delivery </w:t>
      </w:r>
    </w:p>
    <w:p w14:paraId="08ADBB85" w14:textId="77777777" w:rsidR="00767A83" w:rsidRDefault="00767A83" w:rsidP="00767A83">
      <w:pPr>
        <w:pStyle w:val="ListParagraph"/>
        <w:numPr>
          <w:ilvl w:val="2"/>
          <w:numId w:val="1"/>
        </w:numPr>
      </w:pPr>
      <w:r>
        <w:t>All phone requests need to go through your office Administrator and/or Supervisor</w:t>
      </w:r>
    </w:p>
    <w:p w14:paraId="0BFF984A" w14:textId="77777777" w:rsidR="00767A83" w:rsidRDefault="00767A83" w:rsidP="00767A83">
      <w:pPr>
        <w:pStyle w:val="ListParagraph"/>
        <w:numPr>
          <w:ilvl w:val="2"/>
          <w:numId w:val="1"/>
        </w:numPr>
      </w:pPr>
      <w:r>
        <w:lastRenderedPageBreak/>
        <w:t>Your needs are important to us! Please be patient with the ESD help desk staff, they are slammed and priority of service is set by our Executive Leadership.</w:t>
      </w:r>
    </w:p>
    <w:p w14:paraId="6782007C" w14:textId="77777777" w:rsidR="00767A83" w:rsidRDefault="00767A83" w:rsidP="00767A83">
      <w:pPr>
        <w:pStyle w:val="ListParagraph"/>
        <w:numPr>
          <w:ilvl w:val="1"/>
          <w:numId w:val="1"/>
        </w:numPr>
      </w:pPr>
      <w:r>
        <w:t>WebEx</w:t>
      </w:r>
    </w:p>
    <w:p w14:paraId="01597855" w14:textId="77777777" w:rsidR="00767A83" w:rsidRDefault="00767A83" w:rsidP="00767A83">
      <w:pPr>
        <w:pStyle w:val="ListParagraph"/>
        <w:numPr>
          <w:ilvl w:val="2"/>
          <w:numId w:val="1"/>
        </w:numPr>
      </w:pPr>
      <w:r>
        <w:t>Browse the Webex handbook and watch 5 videos on how to make the most out of this tool for conducting meetings with staff and customers.</w:t>
      </w:r>
    </w:p>
    <w:p w14:paraId="6069FBD7" w14:textId="77777777" w:rsidR="00767A83" w:rsidRDefault="00767A83" w:rsidP="00767A83">
      <w:pPr>
        <w:pStyle w:val="ListParagraph"/>
        <w:numPr>
          <w:ilvl w:val="1"/>
          <w:numId w:val="1"/>
        </w:numPr>
      </w:pPr>
      <w:r>
        <w:t>Other resources include:</w:t>
      </w:r>
    </w:p>
    <w:p w14:paraId="5CEF5254" w14:textId="77777777" w:rsidR="00767A83" w:rsidRDefault="00767A83" w:rsidP="00767A83">
      <w:pPr>
        <w:pStyle w:val="ListParagraph"/>
        <w:numPr>
          <w:ilvl w:val="2"/>
          <w:numId w:val="1"/>
        </w:numPr>
      </w:pPr>
      <w:r>
        <w:t>Now that you are teleworking reference guide</w:t>
      </w:r>
    </w:p>
    <w:p w14:paraId="6436430B" w14:textId="77777777" w:rsidR="00767A83" w:rsidRDefault="00767A83" w:rsidP="00767A83">
      <w:pPr>
        <w:pStyle w:val="ListParagraph"/>
        <w:numPr>
          <w:ilvl w:val="2"/>
          <w:numId w:val="1"/>
        </w:numPr>
      </w:pPr>
      <w:r>
        <w:t>How to use SKYPE for online meetings</w:t>
      </w:r>
    </w:p>
    <w:p w14:paraId="10B6F7BB" w14:textId="77777777" w:rsidR="00767A83" w:rsidRDefault="00767A83" w:rsidP="00767A83">
      <w:pPr>
        <w:pStyle w:val="ListParagraph"/>
        <w:numPr>
          <w:ilvl w:val="2"/>
          <w:numId w:val="1"/>
        </w:numPr>
      </w:pPr>
      <w:r>
        <w:t>How to sign into ESD email from outside the network</w:t>
      </w:r>
    </w:p>
    <w:p w14:paraId="564A88A4" w14:textId="77777777" w:rsidR="00767A83" w:rsidRDefault="00767A83" w:rsidP="00767A83">
      <w:pPr>
        <w:pStyle w:val="ListParagraph"/>
        <w:numPr>
          <w:ilvl w:val="2"/>
          <w:numId w:val="1"/>
        </w:numPr>
      </w:pPr>
      <w:r>
        <w:t xml:space="preserve">How to sign into an off-site Wi-Fi from your computer </w:t>
      </w:r>
    </w:p>
    <w:p w14:paraId="0468CEE7" w14:textId="77777777" w:rsidR="00767A83" w:rsidRDefault="00767A83" w:rsidP="00767A83">
      <w:pPr>
        <w:pStyle w:val="ListParagraph"/>
        <w:numPr>
          <w:ilvl w:val="2"/>
          <w:numId w:val="1"/>
        </w:numPr>
      </w:pPr>
      <w:r>
        <w:t>Can I access Internet Explorer from a MAC computer?</w:t>
      </w:r>
    </w:p>
    <w:p w14:paraId="43D626CB" w14:textId="77777777" w:rsidR="00767A83" w:rsidRDefault="00767A83" w:rsidP="00767A83">
      <w:pPr>
        <w:pStyle w:val="ListParagraph"/>
        <w:numPr>
          <w:ilvl w:val="2"/>
          <w:numId w:val="1"/>
        </w:numPr>
      </w:pPr>
      <w:r>
        <w:t>Will the WSS Team be available to help us while working remote?</w:t>
      </w:r>
    </w:p>
    <w:p w14:paraId="099B2067" w14:textId="77777777" w:rsidR="00767A83" w:rsidRDefault="00767A83" w:rsidP="00767A83">
      <w:pPr>
        <w:pStyle w:val="ListParagraph"/>
        <w:numPr>
          <w:ilvl w:val="2"/>
          <w:numId w:val="1"/>
        </w:numPr>
      </w:pPr>
      <w:r>
        <w:t>ESD service Desk information.</w:t>
      </w:r>
    </w:p>
    <w:p w14:paraId="036F4D3D" w14:textId="5F037FC2"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5F618905" w14:textId="77777777" w:rsidR="00E57C55" w:rsidRDefault="00E57C55" w:rsidP="00E57C55">
      <w:pPr>
        <w:pStyle w:val="ListParagraph"/>
        <w:numPr>
          <w:ilvl w:val="0"/>
          <w:numId w:val="13"/>
        </w:numPr>
      </w:pPr>
      <w:r>
        <w:t xml:space="preserve">Reported issues/fixes in the works– </w:t>
      </w:r>
    </w:p>
    <w:p w14:paraId="3BD27403" w14:textId="77777777" w:rsidR="00E57C55" w:rsidRDefault="00E57C55" w:rsidP="00E57C55">
      <w:pPr>
        <w:pStyle w:val="ListParagraph"/>
        <w:numPr>
          <w:ilvl w:val="1"/>
          <w:numId w:val="13"/>
        </w:numPr>
      </w:pPr>
      <w:r>
        <w:t>WA-3704 Intermittent issues with ETO time out</w:t>
      </w:r>
    </w:p>
    <w:p w14:paraId="13B96E3C" w14:textId="77777777" w:rsidR="00E57C55" w:rsidRDefault="00E57C55" w:rsidP="00E57C55">
      <w:pPr>
        <w:pStyle w:val="ListParagraph"/>
        <w:numPr>
          <w:ilvl w:val="2"/>
          <w:numId w:val="13"/>
        </w:numPr>
      </w:pPr>
      <w:r>
        <w:t>The current issue is caused by a timeout feature used by some customers. It was turned on for all ETO customers March 2019. The vendor’s developer is working on turning this additional time out feature off for Washington users.</w:t>
      </w:r>
    </w:p>
    <w:p w14:paraId="18A5C573" w14:textId="77777777" w:rsidR="0056507E" w:rsidRDefault="0056507E" w:rsidP="0056507E">
      <w:pPr>
        <w:pStyle w:val="ListParagraph"/>
        <w:numPr>
          <w:ilvl w:val="0"/>
          <w:numId w:val="13"/>
        </w:numPr>
      </w:pPr>
      <w:r>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4"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5" w:history="1">
        <w:r w:rsidRPr="00D954DD">
          <w:rPr>
            <w:rStyle w:val="Hyperlink"/>
          </w:rPr>
          <w:t>laue@esd.wa.gov</w:t>
        </w:r>
      </w:hyperlink>
      <w:r>
        <w:t xml:space="preserve"> for additional training opportunities and training resources</w:t>
      </w:r>
    </w:p>
    <w:p w14:paraId="2AC85CDB" w14:textId="77777777" w:rsidR="0056507E" w:rsidRDefault="0056507E" w:rsidP="0056507E">
      <w:pPr>
        <w:pStyle w:val="ListParagraph"/>
        <w:numPr>
          <w:ilvl w:val="0"/>
          <w:numId w:val="2"/>
        </w:numPr>
        <w:spacing w:after="0"/>
      </w:pPr>
      <w:r>
        <w:t xml:space="preserve">WorkSource Systems resources are found on the </w:t>
      </w:r>
      <w:r w:rsidRPr="00B4371C">
        <w:t xml:space="preserve">WPC </w:t>
      </w:r>
      <w:r>
        <w:t xml:space="preserve">Technology </w:t>
      </w:r>
      <w:r w:rsidRPr="00B4371C">
        <w:t>site</w:t>
      </w:r>
    </w:p>
    <w:p w14:paraId="639F0676" w14:textId="77777777" w:rsidR="0056507E" w:rsidRPr="00B4371C" w:rsidRDefault="00A010CB" w:rsidP="0056507E">
      <w:pPr>
        <w:pStyle w:val="ListParagraph"/>
        <w:numPr>
          <w:ilvl w:val="1"/>
          <w:numId w:val="2"/>
        </w:numPr>
        <w:spacing w:after="0"/>
      </w:pPr>
      <w:hyperlink r:id="rId16" w:history="1">
        <w:r w:rsidR="0056507E" w:rsidRPr="00A2632C">
          <w:rPr>
            <w:rStyle w:val="Hyperlink"/>
          </w:rPr>
          <w:t>https://wpc.wa.gov/tech</w:t>
        </w:r>
      </w:hyperlink>
      <w:r w:rsidR="0056507E">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3A4F9BA5"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17" w:history="1">
        <w:r w:rsidRPr="00E67B88">
          <w:rPr>
            <w:rStyle w:val="Hyperlink"/>
            <w:i/>
          </w:rPr>
          <w:t>esdgpWSSteam@esd.wa.gov</w:t>
        </w:r>
      </w:hyperlink>
      <w:r w:rsidRPr="00E67B88">
        <w:rPr>
          <w:i/>
        </w:rPr>
        <w:t xml:space="preserve"> to be added to the ITSD Training Team’s distribution list</w:t>
      </w:r>
    </w:p>
    <w:p w14:paraId="7AD2FC2E" w14:textId="77777777" w:rsidR="00F279CC" w:rsidRPr="00F279CC" w:rsidRDefault="00F279CC" w:rsidP="00F279CC">
      <w:pPr>
        <w:pStyle w:val="ListParagraph"/>
        <w:spacing w:after="0"/>
        <w:rPr>
          <w:b/>
          <w:i/>
        </w:rPr>
      </w:pPr>
    </w:p>
    <w:p w14:paraId="3B01F3A6" w14:textId="400BCA4E" w:rsidR="00486E8C" w:rsidRPr="007837AC" w:rsidRDefault="00486E8C" w:rsidP="0056507E">
      <w:pPr>
        <w:pStyle w:val="ListParagraph"/>
        <w:numPr>
          <w:ilvl w:val="0"/>
          <w:numId w:val="2"/>
        </w:numPr>
        <w:spacing w:after="0"/>
        <w:rPr>
          <w:b/>
          <w:i/>
        </w:rPr>
      </w:pPr>
      <w:bookmarkStart w:id="2" w:name="Beforesubmittingservicerequest"/>
      <w:bookmarkEnd w:id="2"/>
      <w:r w:rsidRPr="007837AC">
        <w:rPr>
          <w:b/>
        </w:rPr>
        <w:t xml:space="preserve">Before submitting </w:t>
      </w:r>
      <w:r w:rsidR="007837AC">
        <w:rPr>
          <w:b/>
        </w:rPr>
        <w:t xml:space="preserve">a </w:t>
      </w:r>
      <w:r w:rsidRPr="007837AC">
        <w:rPr>
          <w:b/>
        </w:rPr>
        <w:t>service request</w:t>
      </w:r>
      <w:r w:rsidR="007837AC">
        <w:rPr>
          <w:b/>
        </w:rPr>
        <w:t xml:space="preserve"> review these suggestions</w:t>
      </w:r>
      <w:r w:rsidR="005A3267">
        <w:rPr>
          <w:b/>
        </w:rPr>
        <w:t xml:space="preserve"> as the services desk will ask you to do this and many times this resolves your issue </w:t>
      </w:r>
      <w:r w:rsidR="00BA6B0B">
        <w:rPr>
          <w:b/>
        </w:rPr>
        <w:t>timelier</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lastRenderedPageBreak/>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3668" cy="1014260"/>
                    </a:xfrm>
                    <a:prstGeom prst="rect">
                      <a:avLst/>
                    </a:prstGeom>
                  </pic:spPr>
                </pic:pic>
              </a:graphicData>
            </a:graphic>
          </wp:inline>
        </w:drawing>
      </w:r>
    </w:p>
    <w:p w14:paraId="1843C985" w14:textId="53231B0B" w:rsidR="00FC0EDE" w:rsidRDefault="00486E8C" w:rsidP="009B135E">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6097DC94">
            <wp:extent cx="3239037" cy="9310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6677" cy="94766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3A0D9043"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3FE33A68" w:rsidR="00F556DD" w:rsidRDefault="00F556DD" w:rsidP="00F556DD">
      <w:pPr>
        <w:pStyle w:val="ListParagraph"/>
        <w:numPr>
          <w:ilvl w:val="2"/>
          <w:numId w:val="1"/>
        </w:numPr>
      </w:pPr>
      <w:r>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5CA23A1D">
            <wp:extent cx="1976907" cy="181304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5417" cy="1848365"/>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32A901DC" w:rsidR="00774528" w:rsidRDefault="00774528" w:rsidP="00774528">
      <w:pPr>
        <w:pStyle w:val="ListParagraph"/>
        <w:ind w:left="2160"/>
      </w:pPr>
      <w:r>
        <w:rPr>
          <w:noProof/>
        </w:rPr>
        <w:drawing>
          <wp:inline distT="0" distB="0" distL="0" distR="0" wp14:anchorId="35EB217E" wp14:editId="1DB9BAAE">
            <wp:extent cx="1862051" cy="2360732"/>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81786" cy="2385753"/>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16DE08BF">
            <wp:extent cx="1696994" cy="23503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57931" cy="2434757"/>
                    </a:xfrm>
                    <a:prstGeom prst="rect">
                      <a:avLst/>
                    </a:prstGeom>
                  </pic:spPr>
                </pic:pic>
              </a:graphicData>
            </a:graphic>
          </wp:inline>
        </w:drawing>
      </w: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76555" cy="1710697"/>
                    </a:xfrm>
                    <a:prstGeom prst="rect">
                      <a:avLst/>
                    </a:prstGeom>
                  </pic:spPr>
                </pic:pic>
              </a:graphicData>
            </a:graphic>
          </wp:inline>
        </w:drawing>
      </w:r>
    </w:p>
    <w:p w14:paraId="74019CA7" w14:textId="46EB2512" w:rsidR="00F556DD" w:rsidRDefault="009B4B34" w:rsidP="009B135E">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5AB1609" w14:textId="77777777" w:rsidR="00134175" w:rsidRDefault="00134175" w:rsidP="00134175">
      <w:pPr>
        <w:pStyle w:val="ListParagraph"/>
        <w:numPr>
          <w:ilvl w:val="1"/>
          <w:numId w:val="1"/>
        </w:numPr>
      </w:pPr>
      <w:r>
        <w:t>Restart your computer</w:t>
      </w:r>
    </w:p>
    <w:p w14:paraId="48BECBFF" w14:textId="564D2233" w:rsidR="00865C2A" w:rsidRDefault="00FB3094" w:rsidP="00D17CF1">
      <w:pPr>
        <w:spacing w:after="0"/>
        <w:rPr>
          <w:b/>
        </w:rPr>
      </w:pPr>
      <w:r w:rsidRPr="00FB3094">
        <w:rPr>
          <w:b/>
        </w:rPr>
        <w:t>CHAT</w:t>
      </w:r>
      <w:r w:rsidR="000838F1">
        <w:rPr>
          <w:b/>
        </w:rPr>
        <w:t xml:space="preserve"> – Nothing in today’s chat</w:t>
      </w:r>
    </w:p>
    <w:p w14:paraId="4E0B7709" w14:textId="299B51CE" w:rsidR="00A233A3" w:rsidRDefault="00A233A3" w:rsidP="00D17CF1">
      <w:pPr>
        <w:spacing w:after="0"/>
        <w:rPr>
          <w:b/>
        </w:rPr>
      </w:pPr>
    </w:p>
    <w:p w14:paraId="78832B62" w14:textId="77777777" w:rsidR="009C304E" w:rsidRDefault="00C84D41" w:rsidP="00485AD6">
      <w:pPr>
        <w:spacing w:after="0"/>
        <w:rPr>
          <w:b/>
        </w:rPr>
      </w:pPr>
      <w:r>
        <w:rPr>
          <w:b/>
        </w:rPr>
        <w:t>ATTENDEES</w:t>
      </w:r>
    </w:p>
    <w:p w14:paraId="552BBE5B" w14:textId="77777777" w:rsidR="000838F1" w:rsidRDefault="000838F1" w:rsidP="000838F1">
      <w:pPr>
        <w:spacing w:after="0"/>
        <w:sectPr w:rsidR="000838F1" w:rsidSect="007F167F">
          <w:pgSz w:w="12240" w:h="15840"/>
          <w:pgMar w:top="720" w:right="720" w:bottom="720" w:left="720" w:header="720" w:footer="720" w:gutter="0"/>
          <w:cols w:space="720"/>
          <w:docGrid w:linePitch="360"/>
        </w:sectPr>
      </w:pPr>
    </w:p>
    <w:p w14:paraId="5B24515A" w14:textId="29B30DF8" w:rsidR="000838F1" w:rsidRDefault="000838F1" w:rsidP="000838F1">
      <w:pPr>
        <w:spacing w:after="0"/>
      </w:pPr>
      <w:r>
        <w:t>Aaron Parrott</w:t>
      </w:r>
    </w:p>
    <w:p w14:paraId="1B51C230" w14:textId="77777777" w:rsidR="000838F1" w:rsidRDefault="000838F1" w:rsidP="000838F1">
      <w:pPr>
        <w:spacing w:after="0"/>
      </w:pPr>
      <w:r>
        <w:t>Abigail Taft</w:t>
      </w:r>
    </w:p>
    <w:p w14:paraId="2A9372C5" w14:textId="77777777" w:rsidR="000838F1" w:rsidRDefault="000838F1" w:rsidP="000838F1">
      <w:pPr>
        <w:spacing w:after="0"/>
      </w:pPr>
      <w:r>
        <w:t>Amy</w:t>
      </w:r>
    </w:p>
    <w:p w14:paraId="75A6C668" w14:textId="77777777" w:rsidR="000838F1" w:rsidRDefault="000838F1" w:rsidP="000838F1">
      <w:pPr>
        <w:spacing w:after="0"/>
      </w:pPr>
      <w:r>
        <w:t>Barbara</w:t>
      </w:r>
    </w:p>
    <w:p w14:paraId="1A1671A1" w14:textId="77777777" w:rsidR="000838F1" w:rsidRDefault="000838F1" w:rsidP="000838F1">
      <w:pPr>
        <w:spacing w:after="0"/>
      </w:pPr>
      <w:proofErr w:type="spellStart"/>
      <w:r>
        <w:t>BMenter</w:t>
      </w:r>
      <w:proofErr w:type="spellEnd"/>
    </w:p>
    <w:p w14:paraId="6A11EC0D" w14:textId="77777777" w:rsidR="000838F1" w:rsidRDefault="000838F1" w:rsidP="000838F1">
      <w:pPr>
        <w:spacing w:after="0"/>
      </w:pPr>
      <w:r>
        <w:t>Brett</w:t>
      </w:r>
    </w:p>
    <w:p w14:paraId="4C99A243" w14:textId="77777777" w:rsidR="000838F1" w:rsidRDefault="000838F1" w:rsidP="000838F1">
      <w:pPr>
        <w:spacing w:after="0"/>
      </w:pPr>
      <w:r>
        <w:t>Brooke Zielinski</w:t>
      </w:r>
    </w:p>
    <w:p w14:paraId="3CF2C1A0" w14:textId="77777777" w:rsidR="000838F1" w:rsidRDefault="000838F1" w:rsidP="000838F1">
      <w:pPr>
        <w:spacing w:after="0"/>
      </w:pPr>
      <w:proofErr w:type="spellStart"/>
      <w:r>
        <w:t>ccauthron</w:t>
      </w:r>
      <w:proofErr w:type="spellEnd"/>
    </w:p>
    <w:p w14:paraId="47FAF66F" w14:textId="77777777" w:rsidR="000838F1" w:rsidRDefault="000838F1" w:rsidP="000838F1">
      <w:pPr>
        <w:spacing w:after="0"/>
      </w:pPr>
      <w:r>
        <w:t>Craig Clark</w:t>
      </w:r>
    </w:p>
    <w:p w14:paraId="01CCDBF7" w14:textId="77777777" w:rsidR="000838F1" w:rsidRDefault="000838F1" w:rsidP="000838F1">
      <w:pPr>
        <w:spacing w:after="0"/>
      </w:pPr>
      <w:proofErr w:type="spellStart"/>
      <w:r>
        <w:t>CShaffer</w:t>
      </w:r>
      <w:proofErr w:type="spellEnd"/>
    </w:p>
    <w:p w14:paraId="2B1F4BD4" w14:textId="77777777" w:rsidR="000838F1" w:rsidRDefault="000838F1" w:rsidP="000838F1">
      <w:pPr>
        <w:spacing w:after="0"/>
      </w:pPr>
      <w:r>
        <w:t>Dawn Oakes</w:t>
      </w:r>
    </w:p>
    <w:p w14:paraId="6AACC73A" w14:textId="77777777" w:rsidR="000838F1" w:rsidRDefault="000838F1" w:rsidP="000838F1">
      <w:pPr>
        <w:spacing w:after="0"/>
      </w:pPr>
      <w:r>
        <w:t>Dean</w:t>
      </w:r>
    </w:p>
    <w:p w14:paraId="0163EA4B" w14:textId="77777777" w:rsidR="000838F1" w:rsidRDefault="000838F1" w:rsidP="000838F1">
      <w:pPr>
        <w:spacing w:after="0"/>
      </w:pPr>
      <w:r>
        <w:t>Donna Mack</w:t>
      </w:r>
    </w:p>
    <w:p w14:paraId="711FFA23" w14:textId="77777777" w:rsidR="000838F1" w:rsidRDefault="000838F1" w:rsidP="000838F1">
      <w:pPr>
        <w:spacing w:after="0"/>
      </w:pPr>
      <w:r>
        <w:t>Emily Anderson</w:t>
      </w:r>
    </w:p>
    <w:p w14:paraId="72CC0813" w14:textId="77777777" w:rsidR="000838F1" w:rsidRDefault="000838F1" w:rsidP="000838F1">
      <w:pPr>
        <w:spacing w:after="0"/>
      </w:pPr>
      <w:r>
        <w:t>Heidi Lamers</w:t>
      </w:r>
    </w:p>
    <w:p w14:paraId="185EB3EC" w14:textId="77777777" w:rsidR="000838F1" w:rsidRDefault="000838F1" w:rsidP="000838F1">
      <w:pPr>
        <w:spacing w:after="0"/>
      </w:pPr>
      <w:proofErr w:type="spellStart"/>
      <w:r>
        <w:t>Haidi</w:t>
      </w:r>
      <w:proofErr w:type="spellEnd"/>
      <w:r>
        <w:t xml:space="preserve"> </w:t>
      </w:r>
      <w:proofErr w:type="spellStart"/>
      <w:r>
        <w:t>Schauble</w:t>
      </w:r>
      <w:proofErr w:type="spellEnd"/>
      <w:r>
        <w:t xml:space="preserve"> </w:t>
      </w:r>
    </w:p>
    <w:p w14:paraId="04291152" w14:textId="77777777" w:rsidR="000838F1" w:rsidRDefault="000838F1" w:rsidP="000838F1">
      <w:pPr>
        <w:spacing w:after="0"/>
      </w:pPr>
      <w:r>
        <w:t>Irene Jordan</w:t>
      </w:r>
    </w:p>
    <w:p w14:paraId="368A2D30" w14:textId="77777777" w:rsidR="000838F1" w:rsidRDefault="000838F1" w:rsidP="000838F1">
      <w:pPr>
        <w:spacing w:after="0"/>
      </w:pPr>
      <w:r>
        <w:t>Ismaila Maidadi</w:t>
      </w:r>
    </w:p>
    <w:p w14:paraId="6DF45F54" w14:textId="77777777" w:rsidR="000838F1" w:rsidRDefault="000838F1" w:rsidP="000838F1">
      <w:pPr>
        <w:spacing w:after="0"/>
      </w:pPr>
      <w:r>
        <w:t>Jeff Flood</w:t>
      </w:r>
    </w:p>
    <w:p w14:paraId="52FA1200" w14:textId="77777777" w:rsidR="000838F1" w:rsidRDefault="000838F1" w:rsidP="000838F1">
      <w:pPr>
        <w:spacing w:after="0"/>
      </w:pPr>
      <w:r>
        <w:t>Jessica Corpuel</w:t>
      </w:r>
    </w:p>
    <w:p w14:paraId="5E9166D6" w14:textId="77777777" w:rsidR="000838F1" w:rsidRDefault="000838F1" w:rsidP="000838F1">
      <w:pPr>
        <w:spacing w:after="0"/>
      </w:pPr>
      <w:r>
        <w:t>Joanie Linder</w:t>
      </w:r>
    </w:p>
    <w:p w14:paraId="0B22FB9C" w14:textId="77777777" w:rsidR="000838F1" w:rsidRDefault="000838F1" w:rsidP="000838F1">
      <w:pPr>
        <w:spacing w:after="0"/>
      </w:pPr>
      <w:r>
        <w:t>Jordan Meyenburg</w:t>
      </w:r>
    </w:p>
    <w:p w14:paraId="581B374F" w14:textId="77777777" w:rsidR="000838F1" w:rsidRDefault="000838F1" w:rsidP="000838F1">
      <w:pPr>
        <w:spacing w:after="0"/>
      </w:pPr>
      <w:r>
        <w:t>Katherine C</w:t>
      </w:r>
    </w:p>
    <w:p w14:paraId="2725AEE9" w14:textId="77777777" w:rsidR="000838F1" w:rsidRDefault="000838F1" w:rsidP="000838F1">
      <w:pPr>
        <w:spacing w:after="0"/>
      </w:pPr>
      <w:r>
        <w:t>Linden Obel</w:t>
      </w:r>
    </w:p>
    <w:p w14:paraId="6BB3F8FC" w14:textId="77777777" w:rsidR="000838F1" w:rsidRDefault="000838F1" w:rsidP="000838F1">
      <w:pPr>
        <w:spacing w:after="0"/>
      </w:pPr>
      <w:r>
        <w:t>Luci Bench</w:t>
      </w:r>
    </w:p>
    <w:p w14:paraId="7263BB4D" w14:textId="77777777" w:rsidR="000838F1" w:rsidRDefault="000838F1" w:rsidP="000838F1">
      <w:pPr>
        <w:spacing w:after="0"/>
      </w:pPr>
      <w:r>
        <w:t>Maria</w:t>
      </w:r>
    </w:p>
    <w:p w14:paraId="77157E91" w14:textId="77777777" w:rsidR="000838F1" w:rsidRDefault="000838F1" w:rsidP="000838F1">
      <w:pPr>
        <w:spacing w:after="0"/>
      </w:pPr>
      <w:proofErr w:type="spellStart"/>
      <w:r>
        <w:t>MDoningues</w:t>
      </w:r>
      <w:proofErr w:type="spellEnd"/>
    </w:p>
    <w:p w14:paraId="0EA57BC9" w14:textId="77777777" w:rsidR="000838F1" w:rsidRDefault="000838F1" w:rsidP="000838F1">
      <w:pPr>
        <w:spacing w:after="0"/>
      </w:pPr>
      <w:proofErr w:type="spellStart"/>
      <w:r>
        <w:t>MOMartin</w:t>
      </w:r>
      <w:proofErr w:type="spellEnd"/>
    </w:p>
    <w:p w14:paraId="7D8A9247" w14:textId="77777777" w:rsidR="000838F1" w:rsidRDefault="000838F1" w:rsidP="000838F1">
      <w:pPr>
        <w:spacing w:after="0"/>
      </w:pPr>
      <w:r>
        <w:t>Phillis Hall</w:t>
      </w:r>
    </w:p>
    <w:p w14:paraId="481A99D7" w14:textId="77777777" w:rsidR="000838F1" w:rsidRDefault="000838F1" w:rsidP="000838F1">
      <w:pPr>
        <w:spacing w:after="0"/>
      </w:pPr>
      <w:r>
        <w:t>Rachel</w:t>
      </w:r>
    </w:p>
    <w:p w14:paraId="3F8CA43F" w14:textId="77777777" w:rsidR="000838F1" w:rsidRDefault="000838F1" w:rsidP="000838F1">
      <w:pPr>
        <w:spacing w:after="0"/>
      </w:pPr>
      <w:proofErr w:type="spellStart"/>
      <w:r>
        <w:t>RCancel</w:t>
      </w:r>
      <w:proofErr w:type="spellEnd"/>
    </w:p>
    <w:p w14:paraId="1185E83F" w14:textId="77777777" w:rsidR="000838F1" w:rsidRDefault="000838F1" w:rsidP="000838F1">
      <w:pPr>
        <w:spacing w:after="0"/>
      </w:pPr>
      <w:r>
        <w:t>Rebecca McGinnis</w:t>
      </w:r>
    </w:p>
    <w:p w14:paraId="592B66D1" w14:textId="77777777" w:rsidR="000838F1" w:rsidRDefault="000838F1" w:rsidP="000838F1">
      <w:pPr>
        <w:spacing w:after="0"/>
      </w:pPr>
      <w:proofErr w:type="spellStart"/>
      <w:r>
        <w:t>RJonas</w:t>
      </w:r>
      <w:proofErr w:type="spellEnd"/>
    </w:p>
    <w:p w14:paraId="71144706" w14:textId="77777777" w:rsidR="000838F1" w:rsidRDefault="000838F1" w:rsidP="000838F1">
      <w:pPr>
        <w:spacing w:after="0"/>
      </w:pPr>
      <w:r>
        <w:t>S Butler</w:t>
      </w:r>
    </w:p>
    <w:p w14:paraId="31F5AEFC" w14:textId="77777777" w:rsidR="000838F1" w:rsidRDefault="000838F1" w:rsidP="000838F1">
      <w:pPr>
        <w:spacing w:after="0"/>
      </w:pPr>
      <w:r>
        <w:t>Selam Tekle</w:t>
      </w:r>
    </w:p>
    <w:p w14:paraId="3946D27D" w14:textId="77777777" w:rsidR="000838F1" w:rsidRDefault="000838F1" w:rsidP="000838F1">
      <w:pPr>
        <w:spacing w:after="0"/>
      </w:pPr>
      <w:proofErr w:type="spellStart"/>
      <w:r>
        <w:t>SGates</w:t>
      </w:r>
      <w:proofErr w:type="spellEnd"/>
    </w:p>
    <w:p w14:paraId="6D05D030" w14:textId="77777777" w:rsidR="000838F1" w:rsidRDefault="000838F1" w:rsidP="000838F1">
      <w:pPr>
        <w:spacing w:after="0"/>
      </w:pPr>
      <w:proofErr w:type="spellStart"/>
      <w:r>
        <w:t>TSparks</w:t>
      </w:r>
      <w:proofErr w:type="spellEnd"/>
    </w:p>
    <w:p w14:paraId="1310A5EB" w14:textId="77777777" w:rsidR="000838F1" w:rsidRDefault="000838F1" w:rsidP="000838F1">
      <w:pPr>
        <w:spacing w:after="0"/>
      </w:pPr>
      <w:r>
        <w:t>Teresa Anda</w:t>
      </w:r>
    </w:p>
    <w:p w14:paraId="00B9F22E" w14:textId="77777777" w:rsidR="000838F1" w:rsidRDefault="000838F1" w:rsidP="000838F1">
      <w:pPr>
        <w:spacing w:after="0"/>
      </w:pPr>
      <w:r>
        <w:t>Tiffany Granillo</w:t>
      </w:r>
    </w:p>
    <w:p w14:paraId="788C7EF6" w14:textId="77777777" w:rsidR="000838F1" w:rsidRDefault="000838F1" w:rsidP="000838F1">
      <w:pPr>
        <w:spacing w:after="0"/>
      </w:pPr>
      <w:r>
        <w:t>Ton Nguyen</w:t>
      </w:r>
    </w:p>
    <w:p w14:paraId="40EFA2AC" w14:textId="77777777" w:rsidR="000838F1" w:rsidRDefault="000838F1" w:rsidP="000838F1">
      <w:pPr>
        <w:spacing w:after="0"/>
      </w:pPr>
      <w:r>
        <w:t>Tracy</w:t>
      </w:r>
    </w:p>
    <w:p w14:paraId="444076E0" w14:textId="77777777" w:rsidR="000838F1" w:rsidRDefault="000838F1" w:rsidP="000838F1">
      <w:pPr>
        <w:spacing w:after="0"/>
      </w:pPr>
      <w:r>
        <w:t>Tracy Ollgaard</w:t>
      </w:r>
    </w:p>
    <w:p w14:paraId="781D59C5" w14:textId="77777777" w:rsidR="000838F1" w:rsidRDefault="000838F1" w:rsidP="000838F1">
      <w:pPr>
        <w:spacing w:after="0"/>
      </w:pPr>
      <w:proofErr w:type="spellStart"/>
      <w:r>
        <w:t>Vdamneun</w:t>
      </w:r>
      <w:proofErr w:type="spellEnd"/>
    </w:p>
    <w:p w14:paraId="1909D813" w14:textId="77777777" w:rsidR="000838F1" w:rsidRDefault="000838F1" w:rsidP="000838F1">
      <w:pPr>
        <w:spacing w:after="0"/>
      </w:pPr>
      <w:r>
        <w:t>Yolanda Alvear</w:t>
      </w:r>
    </w:p>
    <w:p w14:paraId="2A9F2E50" w14:textId="4B1B7C7A" w:rsidR="000838F1" w:rsidRDefault="000838F1" w:rsidP="00485AD6">
      <w:pPr>
        <w:spacing w:after="0"/>
        <w:sectPr w:rsidR="000838F1" w:rsidSect="000838F1">
          <w:type w:val="continuous"/>
          <w:pgSz w:w="12240" w:h="15840"/>
          <w:pgMar w:top="720" w:right="720" w:bottom="720" w:left="720" w:header="720" w:footer="720" w:gutter="0"/>
          <w:cols w:num="3" w:space="720"/>
          <w:docGrid w:linePitch="360"/>
        </w:sectPr>
      </w:pPr>
    </w:p>
    <w:p w14:paraId="1F2921FD" w14:textId="318DFB14" w:rsidR="004547B7" w:rsidRPr="00485AD6" w:rsidRDefault="004547B7" w:rsidP="007837AC">
      <w:pPr>
        <w:spacing w:after="0"/>
        <w:rPr>
          <w:b/>
          <w:sz w:val="20"/>
          <w:szCs w:val="20"/>
        </w:rPr>
      </w:pPr>
    </w:p>
    <w:sectPr w:rsidR="004547B7"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5622BE"/>
    <w:multiLevelType w:val="hybridMultilevel"/>
    <w:tmpl w:val="CA3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5"/>
  </w:num>
  <w:num w:numId="4">
    <w:abstractNumId w:val="2"/>
  </w:num>
  <w:num w:numId="5">
    <w:abstractNumId w:val="2"/>
  </w:num>
  <w:num w:numId="6">
    <w:abstractNumId w:val="23"/>
  </w:num>
  <w:num w:numId="7">
    <w:abstractNumId w:val="1"/>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 w:numId="13">
    <w:abstractNumId w:val="15"/>
  </w:num>
  <w:num w:numId="14">
    <w:abstractNumId w:val="25"/>
  </w:num>
  <w:num w:numId="15">
    <w:abstractNumId w:val="12"/>
  </w:num>
  <w:num w:numId="16">
    <w:abstractNumId w:val="4"/>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17"/>
  </w:num>
  <w:num w:numId="23">
    <w:abstractNumId w:val="6"/>
  </w:num>
  <w:num w:numId="24">
    <w:abstractNumId w:val="28"/>
  </w:num>
  <w:num w:numId="25">
    <w:abstractNumId w:val="16"/>
  </w:num>
  <w:num w:numId="26">
    <w:abstractNumId w:val="14"/>
  </w:num>
  <w:num w:numId="27">
    <w:abstractNumId w:val="11"/>
  </w:num>
  <w:num w:numId="28">
    <w:abstractNumId w:val="18"/>
  </w:num>
  <w:num w:numId="29">
    <w:abstractNumId w:val="26"/>
  </w:num>
  <w:num w:numId="30">
    <w:abstractNumId w:val="3"/>
  </w:num>
  <w:num w:numId="31">
    <w:abstractNumId w:val="19"/>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FFA"/>
    <w:rsid w:val="00037F10"/>
    <w:rsid w:val="0005668A"/>
    <w:rsid w:val="00065E2A"/>
    <w:rsid w:val="00067300"/>
    <w:rsid w:val="00072338"/>
    <w:rsid w:val="00075880"/>
    <w:rsid w:val="000809C6"/>
    <w:rsid w:val="000838F1"/>
    <w:rsid w:val="00086463"/>
    <w:rsid w:val="00087B16"/>
    <w:rsid w:val="0009117D"/>
    <w:rsid w:val="000A13D1"/>
    <w:rsid w:val="000A7A02"/>
    <w:rsid w:val="000B0312"/>
    <w:rsid w:val="000B6FB4"/>
    <w:rsid w:val="000C14CF"/>
    <w:rsid w:val="000C6A40"/>
    <w:rsid w:val="000E4580"/>
    <w:rsid w:val="000F3E5C"/>
    <w:rsid w:val="00102357"/>
    <w:rsid w:val="00107CD6"/>
    <w:rsid w:val="00115953"/>
    <w:rsid w:val="00121EBB"/>
    <w:rsid w:val="00124CFC"/>
    <w:rsid w:val="00134175"/>
    <w:rsid w:val="0014069E"/>
    <w:rsid w:val="00140E7F"/>
    <w:rsid w:val="00150935"/>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1440"/>
    <w:rsid w:val="001D15E6"/>
    <w:rsid w:val="001D4A32"/>
    <w:rsid w:val="001F1055"/>
    <w:rsid w:val="002066B8"/>
    <w:rsid w:val="002126C0"/>
    <w:rsid w:val="002333D4"/>
    <w:rsid w:val="00236350"/>
    <w:rsid w:val="002363B2"/>
    <w:rsid w:val="0023661E"/>
    <w:rsid w:val="00240690"/>
    <w:rsid w:val="0024621A"/>
    <w:rsid w:val="00251E69"/>
    <w:rsid w:val="002521AD"/>
    <w:rsid w:val="00264715"/>
    <w:rsid w:val="002821F1"/>
    <w:rsid w:val="002B0185"/>
    <w:rsid w:val="002B19B8"/>
    <w:rsid w:val="002B4946"/>
    <w:rsid w:val="002B4AAC"/>
    <w:rsid w:val="002C248C"/>
    <w:rsid w:val="002C5A37"/>
    <w:rsid w:val="002C5FE6"/>
    <w:rsid w:val="002C7FC3"/>
    <w:rsid w:val="002F15AE"/>
    <w:rsid w:val="00316DD4"/>
    <w:rsid w:val="00320A64"/>
    <w:rsid w:val="00332343"/>
    <w:rsid w:val="003407EF"/>
    <w:rsid w:val="00341DCB"/>
    <w:rsid w:val="00357DCD"/>
    <w:rsid w:val="0036048A"/>
    <w:rsid w:val="00386E01"/>
    <w:rsid w:val="003A28A5"/>
    <w:rsid w:val="003B5AB2"/>
    <w:rsid w:val="003C0DC9"/>
    <w:rsid w:val="003C513D"/>
    <w:rsid w:val="003C6890"/>
    <w:rsid w:val="003D5451"/>
    <w:rsid w:val="003E5DCB"/>
    <w:rsid w:val="003F2380"/>
    <w:rsid w:val="003F3845"/>
    <w:rsid w:val="003F6539"/>
    <w:rsid w:val="00406BA2"/>
    <w:rsid w:val="00412EFC"/>
    <w:rsid w:val="00413380"/>
    <w:rsid w:val="00414695"/>
    <w:rsid w:val="00414EE6"/>
    <w:rsid w:val="00420821"/>
    <w:rsid w:val="00431DAF"/>
    <w:rsid w:val="0043236C"/>
    <w:rsid w:val="00447FCE"/>
    <w:rsid w:val="004513F9"/>
    <w:rsid w:val="00452947"/>
    <w:rsid w:val="004547B7"/>
    <w:rsid w:val="004569BD"/>
    <w:rsid w:val="00456A2B"/>
    <w:rsid w:val="00475FED"/>
    <w:rsid w:val="00477DA2"/>
    <w:rsid w:val="004801D2"/>
    <w:rsid w:val="004845A5"/>
    <w:rsid w:val="00485AD6"/>
    <w:rsid w:val="00486E7B"/>
    <w:rsid w:val="00486E8C"/>
    <w:rsid w:val="00490AF7"/>
    <w:rsid w:val="004A3100"/>
    <w:rsid w:val="004A3EBC"/>
    <w:rsid w:val="004B3274"/>
    <w:rsid w:val="004B3717"/>
    <w:rsid w:val="004C0663"/>
    <w:rsid w:val="004D2986"/>
    <w:rsid w:val="004E2DB5"/>
    <w:rsid w:val="004E32E8"/>
    <w:rsid w:val="004E44FE"/>
    <w:rsid w:val="004E648B"/>
    <w:rsid w:val="00502C7A"/>
    <w:rsid w:val="005104BD"/>
    <w:rsid w:val="0051266B"/>
    <w:rsid w:val="0052275C"/>
    <w:rsid w:val="005377CA"/>
    <w:rsid w:val="005412C2"/>
    <w:rsid w:val="0056507E"/>
    <w:rsid w:val="005767B4"/>
    <w:rsid w:val="00587BFB"/>
    <w:rsid w:val="00587F4B"/>
    <w:rsid w:val="005931EC"/>
    <w:rsid w:val="00596F2B"/>
    <w:rsid w:val="005A3267"/>
    <w:rsid w:val="005B0055"/>
    <w:rsid w:val="005B00DE"/>
    <w:rsid w:val="005B0565"/>
    <w:rsid w:val="005C5E6F"/>
    <w:rsid w:val="005C6A2F"/>
    <w:rsid w:val="005E6D4D"/>
    <w:rsid w:val="005F23F2"/>
    <w:rsid w:val="005F297C"/>
    <w:rsid w:val="00603EFC"/>
    <w:rsid w:val="00605240"/>
    <w:rsid w:val="00624C84"/>
    <w:rsid w:val="00625B28"/>
    <w:rsid w:val="00630BF5"/>
    <w:rsid w:val="006322DE"/>
    <w:rsid w:val="00632A5F"/>
    <w:rsid w:val="00637B46"/>
    <w:rsid w:val="006421BD"/>
    <w:rsid w:val="00652D76"/>
    <w:rsid w:val="006838CA"/>
    <w:rsid w:val="006A5728"/>
    <w:rsid w:val="006C506E"/>
    <w:rsid w:val="006D30DC"/>
    <w:rsid w:val="006E14EC"/>
    <w:rsid w:val="006E1B7D"/>
    <w:rsid w:val="006E2D4D"/>
    <w:rsid w:val="006E4059"/>
    <w:rsid w:val="006F13A0"/>
    <w:rsid w:val="006F1EB0"/>
    <w:rsid w:val="00703119"/>
    <w:rsid w:val="00703917"/>
    <w:rsid w:val="00703D9A"/>
    <w:rsid w:val="00714131"/>
    <w:rsid w:val="007333FC"/>
    <w:rsid w:val="00733A99"/>
    <w:rsid w:val="00746CCB"/>
    <w:rsid w:val="0074705A"/>
    <w:rsid w:val="00767A83"/>
    <w:rsid w:val="00774528"/>
    <w:rsid w:val="007833A0"/>
    <w:rsid w:val="007837AC"/>
    <w:rsid w:val="007877AB"/>
    <w:rsid w:val="0079128A"/>
    <w:rsid w:val="007A273D"/>
    <w:rsid w:val="007C0AA3"/>
    <w:rsid w:val="007C4286"/>
    <w:rsid w:val="007E16DC"/>
    <w:rsid w:val="007F01AB"/>
    <w:rsid w:val="007F167F"/>
    <w:rsid w:val="00802237"/>
    <w:rsid w:val="00804649"/>
    <w:rsid w:val="0080490D"/>
    <w:rsid w:val="00807561"/>
    <w:rsid w:val="00815E19"/>
    <w:rsid w:val="00825491"/>
    <w:rsid w:val="00827DCE"/>
    <w:rsid w:val="00840C09"/>
    <w:rsid w:val="00850C1B"/>
    <w:rsid w:val="00856D97"/>
    <w:rsid w:val="00865C2A"/>
    <w:rsid w:val="008706F9"/>
    <w:rsid w:val="008710D5"/>
    <w:rsid w:val="00871750"/>
    <w:rsid w:val="008759E5"/>
    <w:rsid w:val="0087731F"/>
    <w:rsid w:val="00887B15"/>
    <w:rsid w:val="008A6C98"/>
    <w:rsid w:val="008B1A8C"/>
    <w:rsid w:val="008B4502"/>
    <w:rsid w:val="008B7449"/>
    <w:rsid w:val="008C21FF"/>
    <w:rsid w:val="008C35D9"/>
    <w:rsid w:val="008C429F"/>
    <w:rsid w:val="008C499B"/>
    <w:rsid w:val="008C4D30"/>
    <w:rsid w:val="008C5415"/>
    <w:rsid w:val="008C6490"/>
    <w:rsid w:val="008D501D"/>
    <w:rsid w:val="008E699F"/>
    <w:rsid w:val="008F294C"/>
    <w:rsid w:val="009010A5"/>
    <w:rsid w:val="00906438"/>
    <w:rsid w:val="00906A16"/>
    <w:rsid w:val="00911BFC"/>
    <w:rsid w:val="00916987"/>
    <w:rsid w:val="009170DA"/>
    <w:rsid w:val="0093213A"/>
    <w:rsid w:val="00937481"/>
    <w:rsid w:val="00951CAE"/>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E4B5F"/>
    <w:rsid w:val="009F2258"/>
    <w:rsid w:val="009F75B8"/>
    <w:rsid w:val="00A00FAF"/>
    <w:rsid w:val="00A010CB"/>
    <w:rsid w:val="00A233A3"/>
    <w:rsid w:val="00A26D5B"/>
    <w:rsid w:val="00A27571"/>
    <w:rsid w:val="00A34CE7"/>
    <w:rsid w:val="00A3585E"/>
    <w:rsid w:val="00A37D9E"/>
    <w:rsid w:val="00A449DF"/>
    <w:rsid w:val="00A44DC1"/>
    <w:rsid w:val="00A46F0B"/>
    <w:rsid w:val="00A55EFB"/>
    <w:rsid w:val="00A62D49"/>
    <w:rsid w:val="00A62E33"/>
    <w:rsid w:val="00A70C75"/>
    <w:rsid w:val="00A711A9"/>
    <w:rsid w:val="00A73322"/>
    <w:rsid w:val="00A739DA"/>
    <w:rsid w:val="00A75560"/>
    <w:rsid w:val="00A86356"/>
    <w:rsid w:val="00A94B51"/>
    <w:rsid w:val="00AB0DB2"/>
    <w:rsid w:val="00AB2C3B"/>
    <w:rsid w:val="00AB540B"/>
    <w:rsid w:val="00AB5BA7"/>
    <w:rsid w:val="00AC1CBC"/>
    <w:rsid w:val="00AC55C8"/>
    <w:rsid w:val="00AC7C99"/>
    <w:rsid w:val="00AD071F"/>
    <w:rsid w:val="00AD344C"/>
    <w:rsid w:val="00AD3AD2"/>
    <w:rsid w:val="00AE24FD"/>
    <w:rsid w:val="00AE30D0"/>
    <w:rsid w:val="00AE7054"/>
    <w:rsid w:val="00AF34CD"/>
    <w:rsid w:val="00AF6DD8"/>
    <w:rsid w:val="00B07A4C"/>
    <w:rsid w:val="00B15DAC"/>
    <w:rsid w:val="00B20089"/>
    <w:rsid w:val="00B34400"/>
    <w:rsid w:val="00B412DE"/>
    <w:rsid w:val="00B426E4"/>
    <w:rsid w:val="00B4371C"/>
    <w:rsid w:val="00B52C28"/>
    <w:rsid w:val="00B6679F"/>
    <w:rsid w:val="00B67FE5"/>
    <w:rsid w:val="00B855E7"/>
    <w:rsid w:val="00B8578E"/>
    <w:rsid w:val="00B95D5F"/>
    <w:rsid w:val="00BA6B0B"/>
    <w:rsid w:val="00BB47C3"/>
    <w:rsid w:val="00BC79A2"/>
    <w:rsid w:val="00BD2A1B"/>
    <w:rsid w:val="00BD5DAE"/>
    <w:rsid w:val="00BE2822"/>
    <w:rsid w:val="00C2633E"/>
    <w:rsid w:val="00C3204E"/>
    <w:rsid w:val="00C34C36"/>
    <w:rsid w:val="00C5763F"/>
    <w:rsid w:val="00C61129"/>
    <w:rsid w:val="00C64C67"/>
    <w:rsid w:val="00C7118E"/>
    <w:rsid w:val="00C7558A"/>
    <w:rsid w:val="00C84D41"/>
    <w:rsid w:val="00C87072"/>
    <w:rsid w:val="00C937FA"/>
    <w:rsid w:val="00CA31D7"/>
    <w:rsid w:val="00CC1086"/>
    <w:rsid w:val="00CD12C0"/>
    <w:rsid w:val="00CF1161"/>
    <w:rsid w:val="00CF322F"/>
    <w:rsid w:val="00CF607B"/>
    <w:rsid w:val="00CF695A"/>
    <w:rsid w:val="00D077DF"/>
    <w:rsid w:val="00D17CF1"/>
    <w:rsid w:val="00D44E2F"/>
    <w:rsid w:val="00D56F27"/>
    <w:rsid w:val="00D5798B"/>
    <w:rsid w:val="00D67007"/>
    <w:rsid w:val="00D6784D"/>
    <w:rsid w:val="00D77684"/>
    <w:rsid w:val="00D84F24"/>
    <w:rsid w:val="00DA0F6E"/>
    <w:rsid w:val="00DA1468"/>
    <w:rsid w:val="00DA4935"/>
    <w:rsid w:val="00DA5FDD"/>
    <w:rsid w:val="00DB1E8A"/>
    <w:rsid w:val="00DB46ED"/>
    <w:rsid w:val="00DC709C"/>
    <w:rsid w:val="00DD1CC0"/>
    <w:rsid w:val="00DE0652"/>
    <w:rsid w:val="00DE2F9C"/>
    <w:rsid w:val="00DE75C0"/>
    <w:rsid w:val="00DF119F"/>
    <w:rsid w:val="00E01E3F"/>
    <w:rsid w:val="00E043BA"/>
    <w:rsid w:val="00E14A45"/>
    <w:rsid w:val="00E1542D"/>
    <w:rsid w:val="00E371F6"/>
    <w:rsid w:val="00E4336A"/>
    <w:rsid w:val="00E542C1"/>
    <w:rsid w:val="00E571DA"/>
    <w:rsid w:val="00E57BF5"/>
    <w:rsid w:val="00E57C55"/>
    <w:rsid w:val="00E67B88"/>
    <w:rsid w:val="00E8057C"/>
    <w:rsid w:val="00E8120F"/>
    <w:rsid w:val="00E824AF"/>
    <w:rsid w:val="00E837CB"/>
    <w:rsid w:val="00E85D52"/>
    <w:rsid w:val="00E92092"/>
    <w:rsid w:val="00E97C51"/>
    <w:rsid w:val="00EA0BAD"/>
    <w:rsid w:val="00EA6C1E"/>
    <w:rsid w:val="00EC089A"/>
    <w:rsid w:val="00EE3BD8"/>
    <w:rsid w:val="00EE4723"/>
    <w:rsid w:val="00EF0572"/>
    <w:rsid w:val="00EF3142"/>
    <w:rsid w:val="00EF5740"/>
    <w:rsid w:val="00F02C1D"/>
    <w:rsid w:val="00F0436A"/>
    <w:rsid w:val="00F10F3C"/>
    <w:rsid w:val="00F1150D"/>
    <w:rsid w:val="00F11A4C"/>
    <w:rsid w:val="00F25279"/>
    <w:rsid w:val="00F279CC"/>
    <w:rsid w:val="00F50A6D"/>
    <w:rsid w:val="00F50DA7"/>
    <w:rsid w:val="00F50F4C"/>
    <w:rsid w:val="00F5452A"/>
    <w:rsid w:val="00F556DD"/>
    <w:rsid w:val="00F6040C"/>
    <w:rsid w:val="00F611CC"/>
    <w:rsid w:val="00F6241A"/>
    <w:rsid w:val="00F62D2A"/>
    <w:rsid w:val="00F721E1"/>
    <w:rsid w:val="00F8353A"/>
    <w:rsid w:val="00F866AA"/>
    <w:rsid w:val="00F9122D"/>
    <w:rsid w:val="00F91FE0"/>
    <w:rsid w:val="00F95868"/>
    <w:rsid w:val="00FA40C6"/>
    <w:rsid w:val="00FA4138"/>
    <w:rsid w:val="00FB181E"/>
    <w:rsid w:val="00FB3094"/>
    <w:rsid w:val="00FB3170"/>
    <w:rsid w:val="00FB4612"/>
    <w:rsid w:val="00FC0A95"/>
    <w:rsid w:val="00FC0EDE"/>
    <w:rsid w:val="00FC74AB"/>
    <w:rsid w:val="00FD3362"/>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esdgpWSSteam@esd.wa.gov"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sideesd.wa.gov/services/it-services"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laue@esd.wa.gov" TargetMode="External"/><Relationship Id="rId23" Type="http://schemas.openxmlformats.org/officeDocument/2006/relationships/image" Target="media/image7.png"/><Relationship Id="rId10" Type="http://schemas.openxmlformats.org/officeDocument/2006/relationships/hyperlink" Target="https://wpc.wa.gov/tech/staff/calendar"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hyperlink" Target="mailto:esdgpwssteam@esd.wa.gov" TargetMode="External"/><Relationship Id="rId14" Type="http://schemas.openxmlformats.org/officeDocument/2006/relationships/hyperlink" Target="https://wpc.wa.gov/tech/issues"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7354486-CF41-4962-8FAF-95BE5543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2020-05-07T13:53:00Z</dcterms:created>
  <dcterms:modified xsi:type="dcterms:W3CDTF">2020-05-07T13:53:00Z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