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C5" w:rsidRPr="000D1D42" w:rsidRDefault="00FE2BAC" w:rsidP="00680BC5">
      <w:pPr>
        <w:autoSpaceDE w:val="0"/>
        <w:autoSpaceDN w:val="0"/>
        <w:adjustRightInd w:val="0"/>
        <w:rPr>
          <w:rFonts w:ascii="Arial" w:hAnsi="Arial" w:cs="Arial"/>
          <w:bCs/>
          <w:color w:val="FF0000"/>
          <w:sz w:val="22"/>
          <w:szCs w:val="22"/>
        </w:rPr>
      </w:pPr>
      <w:r>
        <w:rPr>
          <w:rFonts w:ascii="Arial" w:hAnsi="Arial" w:cs="Arial"/>
          <w:b/>
          <w:bCs/>
          <w:color w:val="FF0000"/>
          <w:sz w:val="22"/>
          <w:szCs w:val="22"/>
        </w:rPr>
        <w:t>Agricultural Operations, Labor Disputes Involving Temporary, Seasonal Agricultural Employment</w:t>
      </w:r>
    </w:p>
    <w:p w:rsidR="00BC25C2" w:rsidRDefault="00BC25C2" w:rsidP="00680BC5">
      <w:pPr>
        <w:autoSpaceDE w:val="0"/>
        <w:autoSpaceDN w:val="0"/>
        <w:adjustRightInd w:val="0"/>
        <w:rPr>
          <w:rFonts w:ascii="Arial" w:hAnsi="Arial" w:cs="Arial"/>
          <w:b/>
          <w:bCs/>
          <w:sz w:val="22"/>
          <w:szCs w:val="22"/>
        </w:rPr>
      </w:pPr>
    </w:p>
    <w:p w:rsidR="00BC25C2" w:rsidRPr="000D1D42" w:rsidRDefault="00BC25C2" w:rsidP="00727A5D">
      <w:pPr>
        <w:spacing w:after="120"/>
        <w:rPr>
          <w:rFonts w:ascii="Arial" w:hAnsi="Arial" w:cs="Arial"/>
          <w:b/>
          <w:bCs/>
          <w:sz w:val="22"/>
          <w:szCs w:val="22"/>
        </w:rPr>
      </w:pPr>
      <w:r w:rsidRPr="000D1D42">
        <w:rPr>
          <w:rFonts w:ascii="Arial" w:hAnsi="Arial" w:cs="Arial"/>
          <w:b/>
          <w:bCs/>
          <w:sz w:val="22"/>
          <w:szCs w:val="22"/>
        </w:rPr>
        <w:t>REFERENCES</w:t>
      </w:r>
    </w:p>
    <w:p w:rsidR="00FE2BAC" w:rsidRPr="00FE2BAC" w:rsidRDefault="00FE2BAC" w:rsidP="00FE2BAC">
      <w:pPr>
        <w:autoSpaceDE w:val="0"/>
        <w:autoSpaceDN w:val="0"/>
        <w:adjustRightInd w:val="0"/>
        <w:rPr>
          <w:rFonts w:ascii="Arial" w:hAnsi="Arial" w:cs="Arial"/>
          <w:bCs/>
          <w:sz w:val="22"/>
          <w:szCs w:val="22"/>
        </w:rPr>
      </w:pPr>
      <w:r w:rsidRPr="00FE2BAC">
        <w:rPr>
          <w:rFonts w:ascii="Arial" w:hAnsi="Arial" w:cs="Arial"/>
          <w:bCs/>
          <w:sz w:val="22"/>
          <w:szCs w:val="22"/>
        </w:rPr>
        <w:t>The Workforce Investment Act (WIA) of 1998, Public Law 103-152 (WorkSource); the Wagner-Peyser Act as amended by WIA (Labor Exchange); the Code of Federal Regulations (CFR), Title 20, Chapter V, Part 652 (Labor Exchange); and the Washington Administrative Code (WAC), Chapter 192.12.030 (5).</w:t>
      </w:r>
    </w:p>
    <w:p w:rsidR="00BC25C2" w:rsidRPr="000D1D42" w:rsidRDefault="00BC25C2" w:rsidP="00680BC5">
      <w:pPr>
        <w:autoSpaceDE w:val="0"/>
        <w:autoSpaceDN w:val="0"/>
        <w:adjustRightInd w:val="0"/>
        <w:rPr>
          <w:rFonts w:ascii="Arial" w:hAnsi="Arial" w:cs="Arial"/>
          <w:b/>
          <w:bCs/>
          <w:sz w:val="22"/>
          <w:szCs w:val="22"/>
        </w:rPr>
      </w:pPr>
    </w:p>
    <w:p w:rsidR="00FE2BAC" w:rsidRDefault="00680BC5" w:rsidP="00727A5D">
      <w:pPr>
        <w:autoSpaceDE w:val="0"/>
        <w:autoSpaceDN w:val="0"/>
        <w:adjustRightInd w:val="0"/>
        <w:spacing w:after="120"/>
        <w:rPr>
          <w:rFonts w:ascii="Arial" w:hAnsi="Arial" w:cs="Arial"/>
          <w:b/>
          <w:bCs/>
          <w:sz w:val="22"/>
          <w:szCs w:val="22"/>
        </w:rPr>
      </w:pPr>
      <w:r w:rsidRPr="000D1D42">
        <w:rPr>
          <w:rFonts w:ascii="Arial" w:hAnsi="Arial" w:cs="Arial"/>
          <w:b/>
          <w:bCs/>
          <w:sz w:val="22"/>
          <w:szCs w:val="22"/>
        </w:rPr>
        <w:t xml:space="preserve">PURPOSE </w:t>
      </w:r>
    </w:p>
    <w:p w:rsidR="00FE2BAC" w:rsidRDefault="00FE2BAC" w:rsidP="00FE2BAC">
      <w:pPr>
        <w:autoSpaceDE w:val="0"/>
        <w:autoSpaceDN w:val="0"/>
        <w:adjustRightInd w:val="0"/>
        <w:rPr>
          <w:rFonts w:ascii="Arial" w:hAnsi="Arial" w:cs="Arial"/>
          <w:bCs/>
          <w:sz w:val="22"/>
          <w:szCs w:val="22"/>
        </w:rPr>
      </w:pPr>
      <w:r w:rsidRPr="00FE2BAC">
        <w:rPr>
          <w:rFonts w:ascii="Arial" w:hAnsi="Arial" w:cs="Arial"/>
          <w:bCs/>
          <w:sz w:val="22"/>
          <w:szCs w:val="22"/>
        </w:rPr>
        <w:t>Most labor disputes are easily identified because there is an obvious controversy between employees and an employer; i.e., the employees are refusing to work or the employer is refusing to allow the employees to work, and an association or union is representing the employees in an attempt to resolve the controversy.</w:t>
      </w:r>
    </w:p>
    <w:p w:rsidR="00FE2BAC" w:rsidRPr="00FE2BAC" w:rsidRDefault="00FE2BAC" w:rsidP="00FE2BAC">
      <w:pPr>
        <w:autoSpaceDE w:val="0"/>
        <w:autoSpaceDN w:val="0"/>
        <w:adjustRightInd w:val="0"/>
        <w:rPr>
          <w:rFonts w:ascii="Arial" w:hAnsi="Arial" w:cs="Arial"/>
          <w:bCs/>
          <w:sz w:val="22"/>
          <w:szCs w:val="22"/>
        </w:rPr>
      </w:pPr>
    </w:p>
    <w:p w:rsidR="00FE2BAC" w:rsidRPr="00FE2BAC" w:rsidRDefault="00FE2BAC" w:rsidP="00FE2BAC">
      <w:pPr>
        <w:autoSpaceDE w:val="0"/>
        <w:autoSpaceDN w:val="0"/>
        <w:adjustRightInd w:val="0"/>
        <w:rPr>
          <w:rFonts w:ascii="Arial" w:hAnsi="Arial" w:cs="Arial"/>
          <w:bCs/>
          <w:sz w:val="22"/>
          <w:szCs w:val="22"/>
        </w:rPr>
      </w:pPr>
      <w:r w:rsidRPr="00FE2BAC">
        <w:rPr>
          <w:rFonts w:ascii="Arial" w:hAnsi="Arial" w:cs="Arial"/>
          <w:bCs/>
          <w:sz w:val="22"/>
          <w:szCs w:val="22"/>
        </w:rPr>
        <w:t xml:space="preserve">Some labor disputes, however, are not </w:t>
      </w:r>
      <w:proofErr w:type="gramStart"/>
      <w:r w:rsidRPr="00FE2BAC">
        <w:rPr>
          <w:rFonts w:ascii="Arial" w:hAnsi="Arial" w:cs="Arial"/>
          <w:bCs/>
          <w:sz w:val="22"/>
          <w:szCs w:val="22"/>
        </w:rPr>
        <w:t>so</w:t>
      </w:r>
      <w:proofErr w:type="gramEnd"/>
      <w:r w:rsidRPr="00FE2BAC">
        <w:rPr>
          <w:rFonts w:ascii="Arial" w:hAnsi="Arial" w:cs="Arial"/>
          <w:bCs/>
          <w:sz w:val="22"/>
          <w:szCs w:val="22"/>
        </w:rPr>
        <w:t xml:space="preserve"> clearly identifiable as demonstrated by labor disputes involving temporary, seasonal agricultural employment in the harvesting of perishable crops.  In these instances, it is much more difficult to determine if there are actual labor disputes and whether or not job referrals can be made to the affected establishments.</w:t>
      </w:r>
    </w:p>
    <w:p w:rsidR="00334544" w:rsidRPr="000D1D42" w:rsidRDefault="00334544" w:rsidP="00680BC5">
      <w:pPr>
        <w:autoSpaceDE w:val="0"/>
        <w:autoSpaceDN w:val="0"/>
        <w:adjustRightInd w:val="0"/>
        <w:rPr>
          <w:rFonts w:ascii="Arial" w:hAnsi="Arial" w:cs="Arial"/>
          <w:b/>
          <w:bCs/>
          <w:sz w:val="22"/>
          <w:szCs w:val="22"/>
        </w:rPr>
      </w:pPr>
    </w:p>
    <w:p w:rsidR="00FE2BAC" w:rsidRDefault="00680BC5" w:rsidP="00727A5D">
      <w:pPr>
        <w:autoSpaceDE w:val="0"/>
        <w:autoSpaceDN w:val="0"/>
        <w:adjustRightInd w:val="0"/>
        <w:spacing w:after="120"/>
        <w:rPr>
          <w:rFonts w:ascii="Arial" w:hAnsi="Arial" w:cs="Arial"/>
          <w:b/>
          <w:bCs/>
          <w:sz w:val="22"/>
          <w:szCs w:val="22"/>
        </w:rPr>
      </w:pPr>
      <w:r w:rsidRPr="000D1D42">
        <w:rPr>
          <w:rFonts w:ascii="Arial" w:hAnsi="Arial" w:cs="Arial"/>
          <w:b/>
          <w:bCs/>
          <w:sz w:val="22"/>
          <w:szCs w:val="22"/>
        </w:rPr>
        <w:t>PERSONS AFFECTED</w:t>
      </w:r>
      <w:r w:rsidR="00D4261F" w:rsidRPr="000D1D42">
        <w:rPr>
          <w:rFonts w:ascii="Arial" w:hAnsi="Arial" w:cs="Arial"/>
          <w:b/>
          <w:bCs/>
          <w:sz w:val="22"/>
          <w:szCs w:val="22"/>
        </w:rPr>
        <w:t xml:space="preserve"> </w:t>
      </w:r>
    </w:p>
    <w:p w:rsidR="00680BC5" w:rsidRDefault="00FE2BAC" w:rsidP="00680BC5">
      <w:pPr>
        <w:autoSpaceDE w:val="0"/>
        <w:autoSpaceDN w:val="0"/>
        <w:adjustRightInd w:val="0"/>
        <w:rPr>
          <w:rFonts w:ascii="Arial" w:hAnsi="Arial" w:cs="Arial"/>
          <w:bCs/>
          <w:sz w:val="22"/>
          <w:szCs w:val="22"/>
        </w:rPr>
      </w:pPr>
      <w:r w:rsidRPr="00FE2BAC">
        <w:rPr>
          <w:rFonts w:ascii="Arial" w:hAnsi="Arial" w:cs="Arial"/>
          <w:bCs/>
          <w:sz w:val="22"/>
          <w:szCs w:val="22"/>
        </w:rPr>
        <w:t>ESD WorkSource</w:t>
      </w:r>
      <w:r>
        <w:rPr>
          <w:rFonts w:ascii="Arial" w:hAnsi="Arial" w:cs="Arial"/>
          <w:b/>
          <w:bCs/>
          <w:sz w:val="22"/>
          <w:szCs w:val="22"/>
        </w:rPr>
        <w:t xml:space="preserve"> </w:t>
      </w:r>
      <w:r w:rsidR="00D4261F" w:rsidRPr="000D1D42">
        <w:rPr>
          <w:rFonts w:ascii="Arial" w:hAnsi="Arial" w:cs="Arial"/>
          <w:bCs/>
          <w:sz w:val="22"/>
          <w:szCs w:val="22"/>
        </w:rPr>
        <w:t>Staff</w:t>
      </w:r>
      <w:r>
        <w:rPr>
          <w:rFonts w:ascii="Arial" w:hAnsi="Arial" w:cs="Arial"/>
          <w:bCs/>
          <w:sz w:val="22"/>
          <w:szCs w:val="22"/>
        </w:rPr>
        <w:t xml:space="preserve"> and</w:t>
      </w:r>
      <w:r w:rsidR="00D4261F" w:rsidRPr="000D1D42">
        <w:rPr>
          <w:rFonts w:ascii="Arial" w:hAnsi="Arial" w:cs="Arial"/>
          <w:bCs/>
          <w:sz w:val="22"/>
          <w:szCs w:val="22"/>
        </w:rPr>
        <w:t xml:space="preserve"> Management</w:t>
      </w:r>
    </w:p>
    <w:p w:rsidR="00680BC5" w:rsidRPr="000D1D42" w:rsidRDefault="00680BC5" w:rsidP="00680BC5">
      <w:pPr>
        <w:autoSpaceDE w:val="0"/>
        <w:autoSpaceDN w:val="0"/>
        <w:adjustRightInd w:val="0"/>
        <w:rPr>
          <w:rFonts w:ascii="Arial" w:hAnsi="Arial" w:cs="Arial"/>
          <w:b/>
          <w:bCs/>
          <w:sz w:val="22"/>
          <w:szCs w:val="22"/>
        </w:rPr>
      </w:pPr>
    </w:p>
    <w:p w:rsidR="00763C70" w:rsidRDefault="00680BC5" w:rsidP="00727A5D">
      <w:pPr>
        <w:spacing w:after="120"/>
        <w:rPr>
          <w:rFonts w:ascii="Arial" w:hAnsi="Arial" w:cs="Arial"/>
          <w:b/>
          <w:bCs/>
          <w:sz w:val="22"/>
          <w:szCs w:val="22"/>
        </w:rPr>
      </w:pPr>
      <w:r w:rsidRPr="000D1D42">
        <w:rPr>
          <w:rFonts w:ascii="Arial" w:hAnsi="Arial" w:cs="Arial"/>
          <w:b/>
          <w:bCs/>
          <w:sz w:val="22"/>
          <w:szCs w:val="22"/>
        </w:rPr>
        <w:t>DEFINITIONS</w:t>
      </w:r>
      <w:r w:rsidR="00437608" w:rsidRPr="000D1D42">
        <w:rPr>
          <w:rFonts w:ascii="Arial" w:hAnsi="Arial" w:cs="Arial"/>
          <w:b/>
          <w:bCs/>
          <w:sz w:val="22"/>
          <w:szCs w:val="22"/>
        </w:rPr>
        <w:t xml:space="preserve"> </w:t>
      </w:r>
      <w:bookmarkStart w:id="0" w:name="Labor_Dispute"/>
    </w:p>
    <w:p w:rsidR="00FE2BAC" w:rsidRDefault="00FE2BAC" w:rsidP="00FE2BAC">
      <w:pPr>
        <w:rPr>
          <w:rFonts w:ascii="Arial" w:hAnsi="Arial" w:cs="Arial"/>
          <w:sz w:val="22"/>
          <w:szCs w:val="22"/>
        </w:rPr>
      </w:pPr>
      <w:r w:rsidRPr="00FE2BAC">
        <w:rPr>
          <w:rFonts w:ascii="Arial" w:hAnsi="Arial" w:cs="Arial"/>
          <w:b/>
          <w:bCs/>
          <w:sz w:val="22"/>
          <w:szCs w:val="22"/>
        </w:rPr>
        <w:t>Labor Dispute</w:t>
      </w:r>
      <w:bookmarkEnd w:id="0"/>
      <w:r w:rsidRPr="00FE2BAC">
        <w:rPr>
          <w:rFonts w:ascii="Arial" w:hAnsi="Arial" w:cs="Arial"/>
          <w:sz w:val="22"/>
          <w:szCs w:val="22"/>
        </w:rPr>
        <w:t xml:space="preserve"> - The following definition is used as a guideline for determining the existence of a labor dispute involving temporary, seasonal agricultural employment and for deciding whether or not </w:t>
      </w:r>
      <w:r w:rsidRPr="00FE2BAC">
        <w:rPr>
          <w:rFonts w:ascii="Arial" w:hAnsi="Arial" w:cs="Arial"/>
          <w:b/>
          <w:bCs/>
          <w:sz w:val="22"/>
          <w:szCs w:val="22"/>
        </w:rPr>
        <w:t>employment services</w:t>
      </w:r>
      <w:r w:rsidRPr="00FE2BAC">
        <w:rPr>
          <w:rFonts w:ascii="Arial" w:hAnsi="Arial" w:cs="Arial"/>
          <w:sz w:val="22"/>
          <w:szCs w:val="22"/>
        </w:rPr>
        <w:t xml:space="preserve"> are allowed:</w:t>
      </w:r>
    </w:p>
    <w:p w:rsidR="00FE2BAC" w:rsidRPr="00FE2BAC" w:rsidRDefault="00FE2BAC" w:rsidP="00FE2BAC">
      <w:pPr>
        <w:spacing w:before="60"/>
        <w:rPr>
          <w:i/>
          <w:sz w:val="22"/>
          <w:szCs w:val="22"/>
        </w:rPr>
      </w:pPr>
      <w:r w:rsidRPr="00FE2BAC">
        <w:rPr>
          <w:rFonts w:ascii="Arial" w:hAnsi="Arial" w:cs="Arial"/>
          <w:i/>
          <w:sz w:val="22"/>
          <w:szCs w:val="22"/>
        </w:rPr>
        <w:t>". . . any controversy concerning terms or conditions of employment, or concerning the association or representation of persons in negotiating, fixing, maintaining, changing, or seeking to arrange terms or conditions of employment, regardless of whether or not the disputants stand in the proximate relation of employer or employee . . ."  (NLRB, ETA Handbook 373).</w:t>
      </w:r>
    </w:p>
    <w:p w:rsidR="00FE2BAC" w:rsidRDefault="00FE2BAC" w:rsidP="00FE2BAC">
      <w:pPr>
        <w:rPr>
          <w:rFonts w:ascii="Arial" w:hAnsi="Arial" w:cs="Arial"/>
          <w:sz w:val="22"/>
          <w:szCs w:val="22"/>
        </w:rPr>
      </w:pPr>
    </w:p>
    <w:p w:rsidR="00FE2BAC" w:rsidRPr="00FE2BAC" w:rsidRDefault="00FE2BAC" w:rsidP="00FE2BAC">
      <w:pPr>
        <w:rPr>
          <w:sz w:val="22"/>
          <w:szCs w:val="22"/>
        </w:rPr>
      </w:pPr>
      <w:r w:rsidRPr="00FE2BAC">
        <w:rPr>
          <w:rFonts w:ascii="Arial" w:hAnsi="Arial" w:cs="Arial"/>
          <w:sz w:val="22"/>
          <w:szCs w:val="22"/>
        </w:rPr>
        <w:t xml:space="preserve">The key word in this definition is "controversy."  The presence of pickets at a work site implies a controversy, but there are circumstances where pickets are present and there has been no actual communication or attempted negotiation between a labor organization </w:t>
      </w:r>
      <w:proofErr w:type="gramStart"/>
      <w:r w:rsidRPr="00FE2BAC">
        <w:rPr>
          <w:rFonts w:ascii="Arial" w:hAnsi="Arial" w:cs="Arial"/>
          <w:sz w:val="22"/>
          <w:szCs w:val="22"/>
        </w:rPr>
        <w:t>or</w:t>
      </w:r>
      <w:proofErr w:type="gramEnd"/>
      <w:r w:rsidRPr="00FE2BAC">
        <w:rPr>
          <w:rFonts w:ascii="Arial" w:hAnsi="Arial" w:cs="Arial"/>
          <w:sz w:val="22"/>
          <w:szCs w:val="22"/>
        </w:rPr>
        <w:t xml:space="preserve"> group of workers and an employer or business.  For example, the first contact between the business and the labor organization may be the placement of informational pickets.  </w:t>
      </w:r>
      <w:r w:rsidRPr="00FE2BAC">
        <w:rPr>
          <w:rFonts w:ascii="Arial" w:hAnsi="Arial" w:cs="Arial"/>
          <w:b/>
          <w:bCs/>
          <w:sz w:val="22"/>
          <w:szCs w:val="22"/>
        </w:rPr>
        <w:t>Action of this nature does not constitute a labor dispute.</w:t>
      </w:r>
    </w:p>
    <w:p w:rsidR="00FE2BAC" w:rsidRDefault="00FE2BAC" w:rsidP="00FE2BAC">
      <w:pPr>
        <w:rPr>
          <w:rFonts w:ascii="Arial" w:hAnsi="Arial" w:cs="Arial"/>
          <w:sz w:val="22"/>
          <w:szCs w:val="22"/>
        </w:rPr>
      </w:pPr>
    </w:p>
    <w:p w:rsidR="00FE2BAC" w:rsidRPr="00FE2BAC" w:rsidRDefault="00FE2BAC" w:rsidP="00FE2BAC">
      <w:pPr>
        <w:rPr>
          <w:sz w:val="22"/>
          <w:szCs w:val="22"/>
        </w:rPr>
      </w:pPr>
      <w:r w:rsidRPr="00FE2BAC">
        <w:rPr>
          <w:rFonts w:ascii="Arial" w:hAnsi="Arial" w:cs="Arial"/>
          <w:sz w:val="22"/>
          <w:szCs w:val="22"/>
        </w:rPr>
        <w:t xml:space="preserve">In fact, a controversy constituting a labor dispute involving temporary, seasonal agricultural workers in the harvesting of perishable crops exists, relative to providing </w:t>
      </w:r>
      <w:r w:rsidRPr="00FE2BAC">
        <w:rPr>
          <w:rFonts w:ascii="Arial" w:hAnsi="Arial" w:cs="Arial"/>
          <w:b/>
          <w:bCs/>
          <w:sz w:val="22"/>
          <w:szCs w:val="22"/>
        </w:rPr>
        <w:t>employment services</w:t>
      </w:r>
      <w:r w:rsidRPr="00FE2BAC">
        <w:rPr>
          <w:rFonts w:ascii="Arial" w:hAnsi="Arial" w:cs="Arial"/>
          <w:sz w:val="22"/>
          <w:szCs w:val="22"/>
        </w:rPr>
        <w:t xml:space="preserve">, only when all of the following </w:t>
      </w:r>
      <w:bookmarkStart w:id="1" w:name="conditions"/>
      <w:r w:rsidRPr="00FE2BAC">
        <w:rPr>
          <w:rFonts w:ascii="Arial" w:hAnsi="Arial" w:cs="Arial"/>
          <w:sz w:val="22"/>
          <w:szCs w:val="22"/>
        </w:rPr>
        <w:t>conditions are present</w:t>
      </w:r>
      <w:bookmarkEnd w:id="1"/>
      <w:r w:rsidRPr="00FE2BAC">
        <w:rPr>
          <w:rFonts w:ascii="Arial" w:hAnsi="Arial" w:cs="Arial"/>
          <w:sz w:val="22"/>
          <w:szCs w:val="22"/>
        </w:rPr>
        <w:t>:</w:t>
      </w:r>
    </w:p>
    <w:p w:rsidR="00FE2BAC" w:rsidRPr="00FE2BAC" w:rsidRDefault="00FE2BAC" w:rsidP="00FE2BAC">
      <w:pPr>
        <w:numPr>
          <w:ilvl w:val="0"/>
          <w:numId w:val="12"/>
        </w:numPr>
        <w:spacing w:before="100" w:beforeAutospacing="1" w:after="100" w:afterAutospacing="1"/>
        <w:rPr>
          <w:rFonts w:ascii="Arial" w:hAnsi="Arial" w:cs="Arial"/>
          <w:sz w:val="22"/>
          <w:szCs w:val="22"/>
        </w:rPr>
      </w:pPr>
      <w:r w:rsidRPr="00FE2BAC">
        <w:rPr>
          <w:rFonts w:ascii="Arial" w:hAnsi="Arial" w:cs="Arial"/>
          <w:sz w:val="22"/>
          <w:szCs w:val="22"/>
        </w:rPr>
        <w:t>There is an issue concerning terms and conditions of employment;</w:t>
      </w:r>
      <w:r w:rsidRPr="00FE2BAC">
        <w:rPr>
          <w:rFonts w:ascii="Arial" w:hAnsi="Arial" w:cs="Arial"/>
          <w:sz w:val="22"/>
          <w:szCs w:val="22"/>
        </w:rPr>
        <w:br/>
        <w:t xml:space="preserve">    </w:t>
      </w:r>
    </w:p>
    <w:p w:rsidR="00FE2BAC" w:rsidRDefault="00FE2BAC" w:rsidP="00FE2BAC">
      <w:pPr>
        <w:numPr>
          <w:ilvl w:val="0"/>
          <w:numId w:val="12"/>
        </w:numPr>
        <w:spacing w:before="100" w:beforeAutospacing="1" w:after="100" w:afterAutospacing="1"/>
        <w:rPr>
          <w:rFonts w:ascii="Arial" w:hAnsi="Arial" w:cs="Arial"/>
          <w:sz w:val="22"/>
          <w:szCs w:val="22"/>
        </w:rPr>
      </w:pPr>
      <w:r w:rsidRPr="00FE2BAC">
        <w:rPr>
          <w:rFonts w:ascii="Arial" w:hAnsi="Arial" w:cs="Arial"/>
          <w:sz w:val="22"/>
          <w:szCs w:val="22"/>
        </w:rPr>
        <w:lastRenderedPageBreak/>
        <w:t>A union or group of workers in a concerted action has communicated a demand or demands concerning terms and conditions of employment to the employer or the employer's authorized representative; and</w:t>
      </w:r>
    </w:p>
    <w:p w:rsidR="00FE2BAC" w:rsidRPr="00763C70" w:rsidRDefault="00FE2BAC" w:rsidP="00FE2BAC">
      <w:pPr>
        <w:spacing w:before="100" w:beforeAutospacing="1" w:after="100" w:afterAutospacing="1"/>
        <w:ind w:left="360" w:firstLine="360"/>
        <w:rPr>
          <w:rFonts w:ascii="Arial" w:hAnsi="Arial" w:cs="Arial"/>
          <w:i/>
          <w:sz w:val="22"/>
          <w:szCs w:val="22"/>
        </w:rPr>
      </w:pPr>
      <w:r w:rsidRPr="00763C70">
        <w:rPr>
          <w:rFonts w:ascii="Arial" w:hAnsi="Arial" w:cs="Arial"/>
          <w:b/>
          <w:bCs/>
          <w:i/>
          <w:sz w:val="22"/>
          <w:szCs w:val="22"/>
        </w:rPr>
        <w:t>N</w:t>
      </w:r>
      <w:r w:rsidR="00763C70" w:rsidRPr="00763C70">
        <w:rPr>
          <w:rFonts w:ascii="Arial" w:hAnsi="Arial" w:cs="Arial"/>
          <w:b/>
          <w:bCs/>
          <w:i/>
          <w:sz w:val="22"/>
          <w:szCs w:val="22"/>
        </w:rPr>
        <w:t>ote</w:t>
      </w:r>
      <w:r w:rsidRPr="00763C70">
        <w:rPr>
          <w:rFonts w:ascii="Arial" w:hAnsi="Arial" w:cs="Arial"/>
          <w:b/>
          <w:bCs/>
          <w:i/>
          <w:sz w:val="22"/>
          <w:szCs w:val="22"/>
        </w:rPr>
        <w:t xml:space="preserve">:  </w:t>
      </w:r>
      <w:r w:rsidRPr="00763C70">
        <w:rPr>
          <w:rFonts w:ascii="Arial" w:hAnsi="Arial" w:cs="Arial"/>
          <w:i/>
          <w:sz w:val="22"/>
          <w:szCs w:val="22"/>
        </w:rPr>
        <w:t>This differs from UI procedures.</w:t>
      </w:r>
    </w:p>
    <w:p w:rsidR="00FE2BAC" w:rsidRDefault="00FE2BAC" w:rsidP="00FE2BAC">
      <w:pPr>
        <w:numPr>
          <w:ilvl w:val="0"/>
          <w:numId w:val="12"/>
        </w:numPr>
        <w:spacing w:before="100" w:beforeAutospacing="1" w:after="100" w:afterAutospacing="1"/>
        <w:rPr>
          <w:rFonts w:ascii="Arial" w:hAnsi="Arial" w:cs="Arial"/>
          <w:sz w:val="22"/>
          <w:szCs w:val="22"/>
        </w:rPr>
      </w:pPr>
      <w:r w:rsidRPr="00FE2BAC">
        <w:rPr>
          <w:rFonts w:ascii="Arial" w:hAnsi="Arial" w:cs="Arial"/>
          <w:sz w:val="22"/>
          <w:szCs w:val="22"/>
        </w:rPr>
        <w:t>The employer acknowledges receiving such a demand or demands from a union or group of workers, or there is evidence which confirms that the demand or demands have been conveyed to the employer.</w:t>
      </w:r>
    </w:p>
    <w:p w:rsidR="00FE2BAC" w:rsidRPr="00763C70" w:rsidRDefault="00FE2BAC" w:rsidP="00FE2BAC">
      <w:pPr>
        <w:ind w:left="360" w:firstLine="360"/>
        <w:rPr>
          <w:rFonts w:ascii="Arial" w:hAnsi="Arial" w:cs="Arial"/>
          <w:i/>
          <w:sz w:val="22"/>
          <w:szCs w:val="22"/>
        </w:rPr>
      </w:pPr>
      <w:r w:rsidRPr="00763C70">
        <w:rPr>
          <w:rFonts w:ascii="Arial" w:hAnsi="Arial" w:cs="Arial"/>
          <w:b/>
          <w:bCs/>
          <w:i/>
          <w:sz w:val="22"/>
          <w:szCs w:val="22"/>
        </w:rPr>
        <w:t>N</w:t>
      </w:r>
      <w:r w:rsidR="00763C70" w:rsidRPr="00763C70">
        <w:rPr>
          <w:rFonts w:ascii="Arial" w:hAnsi="Arial" w:cs="Arial"/>
          <w:b/>
          <w:bCs/>
          <w:i/>
          <w:sz w:val="22"/>
          <w:szCs w:val="22"/>
        </w:rPr>
        <w:t>ote</w:t>
      </w:r>
      <w:r w:rsidRPr="00763C70">
        <w:rPr>
          <w:rFonts w:ascii="Arial" w:hAnsi="Arial" w:cs="Arial"/>
          <w:b/>
          <w:bCs/>
          <w:i/>
          <w:sz w:val="22"/>
          <w:szCs w:val="22"/>
        </w:rPr>
        <w:t xml:space="preserve">:  </w:t>
      </w:r>
      <w:r w:rsidRPr="00763C70">
        <w:rPr>
          <w:rFonts w:ascii="Arial" w:hAnsi="Arial" w:cs="Arial"/>
          <w:i/>
          <w:sz w:val="22"/>
          <w:szCs w:val="22"/>
        </w:rPr>
        <w:t xml:space="preserve">This may differ from UI procedures. </w:t>
      </w:r>
    </w:p>
    <w:p w:rsidR="00680BC5" w:rsidRPr="000D1D42" w:rsidRDefault="00680BC5" w:rsidP="00680BC5">
      <w:pPr>
        <w:autoSpaceDE w:val="0"/>
        <w:autoSpaceDN w:val="0"/>
        <w:adjustRightInd w:val="0"/>
        <w:rPr>
          <w:rFonts w:ascii="Arial" w:hAnsi="Arial" w:cs="Arial"/>
          <w:b/>
          <w:bCs/>
          <w:sz w:val="22"/>
          <w:szCs w:val="22"/>
        </w:rPr>
      </w:pPr>
    </w:p>
    <w:p w:rsidR="00763C70" w:rsidRDefault="00680BC5" w:rsidP="00727A5D">
      <w:pPr>
        <w:autoSpaceDE w:val="0"/>
        <w:autoSpaceDN w:val="0"/>
        <w:adjustRightInd w:val="0"/>
        <w:spacing w:after="120"/>
        <w:rPr>
          <w:rFonts w:ascii="Arial" w:hAnsi="Arial" w:cs="Arial"/>
          <w:b/>
          <w:bCs/>
          <w:sz w:val="22"/>
          <w:szCs w:val="22"/>
        </w:rPr>
      </w:pPr>
      <w:r w:rsidRPr="000D1D42">
        <w:rPr>
          <w:rFonts w:ascii="Arial" w:hAnsi="Arial" w:cs="Arial"/>
          <w:b/>
          <w:bCs/>
          <w:sz w:val="22"/>
          <w:szCs w:val="22"/>
        </w:rPr>
        <w:t>POLICY</w:t>
      </w:r>
      <w:r w:rsidR="00D4261F" w:rsidRPr="000D1D42">
        <w:rPr>
          <w:rFonts w:ascii="Arial" w:hAnsi="Arial" w:cs="Arial"/>
          <w:b/>
          <w:bCs/>
          <w:sz w:val="22"/>
          <w:szCs w:val="22"/>
        </w:rPr>
        <w:t xml:space="preserve"> </w:t>
      </w:r>
    </w:p>
    <w:p w:rsidR="00763C70" w:rsidRDefault="00763C70" w:rsidP="00763C70">
      <w:pPr>
        <w:autoSpaceDE w:val="0"/>
        <w:autoSpaceDN w:val="0"/>
        <w:adjustRightInd w:val="0"/>
        <w:rPr>
          <w:rFonts w:ascii="Arial" w:hAnsi="Arial" w:cs="Arial"/>
          <w:sz w:val="22"/>
          <w:szCs w:val="22"/>
        </w:rPr>
      </w:pPr>
      <w:r w:rsidRPr="00763C70">
        <w:rPr>
          <w:rFonts w:ascii="Arial" w:hAnsi="Arial" w:cs="Arial"/>
          <w:sz w:val="22"/>
          <w:szCs w:val="22"/>
        </w:rPr>
        <w:t xml:space="preserve">It is the policy of the Employment Security Department (ESD) that all staff </w:t>
      </w:r>
      <w:proofErr w:type="gramStart"/>
      <w:r w:rsidRPr="00763C70">
        <w:rPr>
          <w:rFonts w:ascii="Arial" w:hAnsi="Arial" w:cs="Arial"/>
          <w:sz w:val="22"/>
          <w:szCs w:val="22"/>
        </w:rPr>
        <w:t>remain</w:t>
      </w:r>
      <w:proofErr w:type="gramEnd"/>
      <w:r w:rsidRPr="00763C70">
        <w:rPr>
          <w:rFonts w:ascii="Arial" w:hAnsi="Arial" w:cs="Arial"/>
          <w:sz w:val="22"/>
          <w:szCs w:val="22"/>
        </w:rPr>
        <w:t xml:space="preserve"> impartial in dealing with agricultural employers, employees, and the employers' and employees' representatives.  Under no circumstances </w:t>
      </w:r>
      <w:proofErr w:type="gramStart"/>
      <w:r w:rsidRPr="00763C70">
        <w:rPr>
          <w:rFonts w:ascii="Arial" w:hAnsi="Arial" w:cs="Arial"/>
          <w:sz w:val="22"/>
          <w:szCs w:val="22"/>
        </w:rPr>
        <w:t>do staff</w:t>
      </w:r>
      <w:proofErr w:type="gramEnd"/>
      <w:r w:rsidRPr="00763C70">
        <w:rPr>
          <w:rFonts w:ascii="Arial" w:hAnsi="Arial" w:cs="Arial"/>
          <w:sz w:val="22"/>
          <w:szCs w:val="22"/>
        </w:rPr>
        <w:t xml:space="preserve"> express an opinion as to the merits of a </w:t>
      </w:r>
      <w:hyperlink r:id="rId11" w:anchor="Labor Dispute" w:history="1">
        <w:r w:rsidRPr="00763C70">
          <w:rPr>
            <w:rStyle w:val="Hyperlink"/>
            <w:rFonts w:ascii="Arial" w:hAnsi="Arial" w:cs="Arial"/>
            <w:sz w:val="22"/>
            <w:szCs w:val="22"/>
          </w:rPr>
          <w:t>labor dispute</w:t>
        </w:r>
      </w:hyperlink>
      <w:r w:rsidRPr="00763C70">
        <w:rPr>
          <w:rFonts w:ascii="Arial" w:hAnsi="Arial" w:cs="Arial"/>
          <w:sz w:val="22"/>
          <w:szCs w:val="22"/>
        </w:rPr>
        <w:t xml:space="preserve"> involving temporary, seasonal agricultural employment; nor are any recommendations or decisions made or influenced by the merits of such a labor dispute, as ESD cannot be concerned with such merits.  ESD's only concern regarding such labor disputes is in how they affect our ability to provide employment services to agricultural employers.  For example:</w:t>
      </w:r>
    </w:p>
    <w:p w:rsidR="00763C70" w:rsidRPr="00763C70" w:rsidRDefault="00763C70" w:rsidP="00763C70">
      <w:pPr>
        <w:autoSpaceDE w:val="0"/>
        <w:autoSpaceDN w:val="0"/>
        <w:adjustRightInd w:val="0"/>
        <w:rPr>
          <w:rFonts w:ascii="Arial" w:hAnsi="Arial" w:cs="Arial"/>
          <w:b/>
          <w:bCs/>
          <w:sz w:val="22"/>
          <w:szCs w:val="22"/>
        </w:rPr>
      </w:pPr>
    </w:p>
    <w:p w:rsidR="00763C70" w:rsidRDefault="00763C70" w:rsidP="00763C70">
      <w:pPr>
        <w:pStyle w:val="NormalWeb"/>
        <w:numPr>
          <w:ilvl w:val="0"/>
          <w:numId w:val="16"/>
        </w:numPr>
        <w:spacing w:before="0" w:beforeAutospacing="0" w:after="0" w:afterAutospacing="0"/>
        <w:rPr>
          <w:rFonts w:ascii="Arial" w:hAnsi="Arial" w:cs="Arial"/>
          <w:sz w:val="22"/>
          <w:szCs w:val="22"/>
        </w:rPr>
      </w:pPr>
      <w:r w:rsidRPr="00763C70">
        <w:rPr>
          <w:rFonts w:ascii="Arial" w:hAnsi="Arial" w:cs="Arial"/>
          <w:sz w:val="22"/>
          <w:szCs w:val="22"/>
        </w:rPr>
        <w:t xml:space="preserve">Job orders </w:t>
      </w:r>
      <w:r w:rsidRPr="00763C70">
        <w:rPr>
          <w:rFonts w:ascii="Arial" w:hAnsi="Arial" w:cs="Arial"/>
          <w:b/>
          <w:bCs/>
          <w:sz w:val="22"/>
          <w:szCs w:val="22"/>
        </w:rPr>
        <w:t>are not knowingly accepted</w:t>
      </w:r>
      <w:r w:rsidRPr="00763C70">
        <w:rPr>
          <w:rFonts w:ascii="Arial" w:hAnsi="Arial" w:cs="Arial"/>
          <w:sz w:val="22"/>
          <w:szCs w:val="22"/>
        </w:rPr>
        <w:t xml:space="preserve"> when a strike, lockout, or other labor dispute involving temporary, seasonal agricultural employment is in progress, when the job is vacant because a former occupant is on strike or has been locked out, or when the filling of the opening is an issue in such a labor dispute.  </w:t>
      </w:r>
    </w:p>
    <w:p w:rsidR="00763C70" w:rsidRPr="00763C70" w:rsidRDefault="00763C70" w:rsidP="00763C70">
      <w:pPr>
        <w:pStyle w:val="NormalWeb"/>
        <w:spacing w:before="0" w:beforeAutospacing="0" w:after="0" w:afterAutospacing="0"/>
        <w:ind w:firstLine="105"/>
        <w:rPr>
          <w:sz w:val="22"/>
          <w:szCs w:val="22"/>
        </w:rPr>
      </w:pPr>
    </w:p>
    <w:p w:rsidR="00763C70" w:rsidRDefault="00763C70" w:rsidP="00763C70">
      <w:pPr>
        <w:pStyle w:val="NormalWeb"/>
        <w:numPr>
          <w:ilvl w:val="0"/>
          <w:numId w:val="16"/>
        </w:numPr>
        <w:spacing w:before="0" w:beforeAutospacing="0" w:after="0" w:afterAutospacing="0"/>
        <w:rPr>
          <w:sz w:val="22"/>
          <w:szCs w:val="22"/>
        </w:rPr>
      </w:pPr>
      <w:r w:rsidRPr="00763C70">
        <w:rPr>
          <w:rFonts w:ascii="Arial" w:hAnsi="Arial" w:cs="Arial"/>
          <w:sz w:val="22"/>
          <w:szCs w:val="22"/>
        </w:rPr>
        <w:t xml:space="preserve">Referrals </w:t>
      </w:r>
      <w:r w:rsidRPr="00763C70">
        <w:rPr>
          <w:rFonts w:ascii="Arial" w:hAnsi="Arial" w:cs="Arial"/>
          <w:b/>
          <w:bCs/>
          <w:sz w:val="22"/>
          <w:szCs w:val="22"/>
        </w:rPr>
        <w:t>are not made</w:t>
      </w:r>
      <w:r w:rsidRPr="00763C70">
        <w:rPr>
          <w:rFonts w:ascii="Arial" w:hAnsi="Arial" w:cs="Arial"/>
          <w:sz w:val="22"/>
          <w:szCs w:val="22"/>
        </w:rPr>
        <w:t xml:space="preserve"> when such referrals aid directly or indirectly in filling a job that is vacant because the former occupant is on strike, being locked out in the course of a labor dispute involving temporary, seasonal agricultural employment, or if the filling of the order is an issue in such a labor dispute.</w:t>
      </w:r>
      <w:r w:rsidRPr="00763C70">
        <w:rPr>
          <w:sz w:val="22"/>
          <w:szCs w:val="22"/>
        </w:rPr>
        <w:t xml:space="preserve"> </w:t>
      </w:r>
    </w:p>
    <w:p w:rsidR="00763C70" w:rsidRPr="00763C70" w:rsidRDefault="00763C70" w:rsidP="00763C70">
      <w:pPr>
        <w:pStyle w:val="NormalWeb"/>
        <w:spacing w:before="0" w:beforeAutospacing="0" w:after="0" w:afterAutospacing="0"/>
        <w:rPr>
          <w:sz w:val="22"/>
          <w:szCs w:val="22"/>
        </w:rPr>
      </w:pPr>
    </w:p>
    <w:p w:rsidR="00763C70" w:rsidRPr="00763C70" w:rsidRDefault="00763C70" w:rsidP="00763C70">
      <w:pPr>
        <w:rPr>
          <w:sz w:val="22"/>
          <w:szCs w:val="22"/>
        </w:rPr>
      </w:pPr>
      <w:r w:rsidRPr="00763C70">
        <w:rPr>
          <w:rFonts w:ascii="Arial" w:hAnsi="Arial" w:cs="Arial"/>
          <w:sz w:val="22"/>
          <w:szCs w:val="22"/>
        </w:rPr>
        <w:t>In addition, any information gathered as a result of agricultural labor dispute fact-finding activities is considered confidential, for ESD use, and is only released in accordance with Policies and Procedures document number 0006, Request for Public Records/Disclosure and Privacy of Information and Records.</w:t>
      </w:r>
    </w:p>
    <w:p w:rsidR="00D4261F" w:rsidRPr="000D1D42" w:rsidRDefault="00D4261F" w:rsidP="00680BC5">
      <w:pPr>
        <w:rPr>
          <w:rFonts w:ascii="Arial" w:hAnsi="Arial" w:cs="Arial"/>
          <w:b/>
          <w:bCs/>
          <w:sz w:val="22"/>
          <w:szCs w:val="22"/>
        </w:rPr>
      </w:pPr>
    </w:p>
    <w:p w:rsidR="00680BC5" w:rsidRPr="000D1D42" w:rsidRDefault="00680BC5" w:rsidP="00680BC5">
      <w:pPr>
        <w:rPr>
          <w:rFonts w:ascii="Arial" w:hAnsi="Arial" w:cs="Arial"/>
          <w:b/>
          <w:bCs/>
          <w:sz w:val="22"/>
          <w:szCs w:val="22"/>
        </w:rPr>
      </w:pPr>
      <w:r w:rsidRPr="000D1D42">
        <w:rPr>
          <w:rFonts w:ascii="Arial" w:hAnsi="Arial" w:cs="Arial"/>
          <w:b/>
          <w:bCs/>
          <w:sz w:val="22"/>
          <w:szCs w:val="22"/>
        </w:rPr>
        <w:t>SUPERSEDES</w:t>
      </w:r>
    </w:p>
    <w:p w:rsidR="00680BC5" w:rsidRPr="00763C70" w:rsidRDefault="00763C70" w:rsidP="00680BC5">
      <w:pPr>
        <w:rPr>
          <w:rFonts w:ascii="Arial" w:hAnsi="Arial" w:cs="Arial"/>
          <w:bCs/>
          <w:sz w:val="22"/>
          <w:szCs w:val="22"/>
        </w:rPr>
      </w:pPr>
      <w:r w:rsidRPr="00763C70">
        <w:rPr>
          <w:rFonts w:ascii="Arial" w:hAnsi="Arial" w:cs="Arial"/>
          <w:bCs/>
          <w:sz w:val="22"/>
          <w:szCs w:val="22"/>
        </w:rPr>
        <w:t>None</w:t>
      </w:r>
    </w:p>
    <w:p w:rsidR="00680BC5" w:rsidRPr="000D1D42" w:rsidRDefault="00680BC5" w:rsidP="00680BC5">
      <w:pPr>
        <w:rPr>
          <w:rFonts w:ascii="Arial" w:hAnsi="Arial" w:cs="Arial"/>
          <w:b/>
          <w:bCs/>
          <w:sz w:val="22"/>
          <w:szCs w:val="22"/>
        </w:rPr>
      </w:pPr>
    </w:p>
    <w:p w:rsidR="00680BC5" w:rsidRPr="000D1D42" w:rsidRDefault="00680BC5" w:rsidP="00727A5D">
      <w:pPr>
        <w:spacing w:after="120"/>
        <w:rPr>
          <w:rFonts w:ascii="Arial" w:hAnsi="Arial" w:cs="Arial"/>
          <w:b/>
          <w:bCs/>
          <w:sz w:val="22"/>
          <w:szCs w:val="22"/>
        </w:rPr>
      </w:pPr>
      <w:r w:rsidRPr="000D1D42">
        <w:rPr>
          <w:rFonts w:ascii="Arial" w:hAnsi="Arial" w:cs="Arial"/>
          <w:b/>
          <w:bCs/>
          <w:sz w:val="22"/>
          <w:szCs w:val="22"/>
        </w:rPr>
        <w:t>CONTACT</w:t>
      </w:r>
    </w:p>
    <w:p w:rsidR="00680BC5" w:rsidRPr="00727A5D" w:rsidRDefault="00763C70" w:rsidP="00727A5D">
      <w:pPr>
        <w:pStyle w:val="NormalWeb"/>
        <w:spacing w:before="0" w:beforeAutospacing="0" w:after="0" w:afterAutospacing="0"/>
        <w:rPr>
          <w:sz w:val="22"/>
          <w:szCs w:val="22"/>
        </w:rPr>
      </w:pPr>
      <w:r w:rsidRPr="00763C70">
        <w:rPr>
          <w:rFonts w:ascii="Arial" w:hAnsi="Arial" w:cs="Arial"/>
          <w:sz w:val="22"/>
          <w:szCs w:val="22"/>
        </w:rPr>
        <w:t>Oscar Trevino</w:t>
      </w:r>
      <w:r w:rsidRPr="00763C70">
        <w:rPr>
          <w:rFonts w:ascii="Arial" w:hAnsi="Arial" w:cs="Arial"/>
          <w:sz w:val="22"/>
          <w:szCs w:val="22"/>
        </w:rPr>
        <w:br/>
        <w:t>Employment Security Department</w:t>
      </w:r>
      <w:r w:rsidRPr="00763C70">
        <w:rPr>
          <w:rFonts w:ascii="Arial" w:hAnsi="Arial" w:cs="Arial"/>
          <w:sz w:val="22"/>
          <w:szCs w:val="22"/>
        </w:rPr>
        <w:br/>
        <w:t>Employment and Career Development Divisio</w:t>
      </w:r>
      <w:r w:rsidR="00727A5D">
        <w:rPr>
          <w:rFonts w:ascii="Arial" w:hAnsi="Arial" w:cs="Arial"/>
          <w:sz w:val="22"/>
          <w:szCs w:val="22"/>
        </w:rPr>
        <w:t>n</w:t>
      </w:r>
      <w:r w:rsidR="00727A5D">
        <w:rPr>
          <w:rFonts w:ascii="Arial" w:hAnsi="Arial" w:cs="Arial"/>
          <w:sz w:val="22"/>
          <w:szCs w:val="22"/>
        </w:rPr>
        <w:br/>
        <w:t xml:space="preserve">P.O. Box 9046, Mail Stop 6000 | </w:t>
      </w:r>
      <w:proofErr w:type="gramStart"/>
      <w:r w:rsidRPr="00763C70">
        <w:rPr>
          <w:rFonts w:ascii="Arial" w:hAnsi="Arial" w:cs="Arial"/>
          <w:sz w:val="22"/>
          <w:szCs w:val="22"/>
        </w:rPr>
        <w:t>Olympia ,</w:t>
      </w:r>
      <w:proofErr w:type="gramEnd"/>
      <w:r w:rsidRPr="00763C70">
        <w:rPr>
          <w:rFonts w:ascii="Arial" w:hAnsi="Arial" w:cs="Arial"/>
          <w:sz w:val="22"/>
          <w:szCs w:val="22"/>
        </w:rPr>
        <w:t xml:space="preserve"> WA 98507-9046</w:t>
      </w:r>
      <w:r w:rsidRPr="00763C70">
        <w:rPr>
          <w:rFonts w:ascii="Arial" w:hAnsi="Arial" w:cs="Arial"/>
          <w:sz w:val="22"/>
          <w:szCs w:val="22"/>
        </w:rPr>
        <w:br/>
        <w:t xml:space="preserve">E-Mail: </w:t>
      </w:r>
      <w:bookmarkStart w:id="2" w:name="otrevino@esd.wa.gov"/>
      <w:r w:rsidR="001F4E83" w:rsidRPr="00763C70">
        <w:rPr>
          <w:rFonts w:ascii="Arial" w:hAnsi="Arial" w:cs="Arial"/>
          <w:sz w:val="22"/>
          <w:szCs w:val="22"/>
        </w:rPr>
        <w:fldChar w:fldCharType="begin"/>
      </w:r>
      <w:r w:rsidRPr="00763C70">
        <w:rPr>
          <w:rFonts w:ascii="Arial" w:hAnsi="Arial" w:cs="Arial"/>
          <w:sz w:val="22"/>
          <w:szCs w:val="22"/>
        </w:rPr>
        <w:instrText xml:space="preserve"> HYPERLINK "mailto:otrevino@esd.wa.gov" </w:instrText>
      </w:r>
      <w:r w:rsidR="001F4E83" w:rsidRPr="00763C70">
        <w:rPr>
          <w:rFonts w:ascii="Arial" w:hAnsi="Arial" w:cs="Arial"/>
          <w:sz w:val="22"/>
          <w:szCs w:val="22"/>
        </w:rPr>
        <w:fldChar w:fldCharType="separate"/>
      </w:r>
      <w:r w:rsidRPr="00763C70">
        <w:rPr>
          <w:rStyle w:val="Hyperlink"/>
          <w:rFonts w:ascii="Arial" w:hAnsi="Arial" w:cs="Arial"/>
          <w:sz w:val="22"/>
          <w:szCs w:val="22"/>
        </w:rPr>
        <w:t>otrevino@esd.wa.gov</w:t>
      </w:r>
      <w:r w:rsidR="001F4E83" w:rsidRPr="00763C70">
        <w:rPr>
          <w:rFonts w:ascii="Arial" w:hAnsi="Arial" w:cs="Arial"/>
          <w:sz w:val="22"/>
          <w:szCs w:val="22"/>
        </w:rPr>
        <w:fldChar w:fldCharType="end"/>
      </w:r>
      <w:bookmarkEnd w:id="2"/>
      <w:r w:rsidRPr="00763C70">
        <w:rPr>
          <w:rFonts w:ascii="Arial" w:hAnsi="Arial" w:cs="Arial"/>
          <w:sz w:val="22"/>
          <w:szCs w:val="22"/>
        </w:rPr>
        <w:t>            </w:t>
      </w:r>
      <w:r w:rsidRPr="00763C70">
        <w:rPr>
          <w:rFonts w:ascii="Arial" w:hAnsi="Arial" w:cs="Arial"/>
          <w:sz w:val="22"/>
          <w:szCs w:val="22"/>
        </w:rPr>
        <w:br/>
        <w:t>Telephone:  (360) 438-4653</w:t>
      </w:r>
      <w:r w:rsidRPr="00763C70">
        <w:rPr>
          <w:rFonts w:ascii="Arial" w:hAnsi="Arial" w:cs="Arial"/>
          <w:sz w:val="22"/>
          <w:szCs w:val="22"/>
        </w:rPr>
        <w:br/>
        <w:t>Fax:  (360) 438-4014</w:t>
      </w:r>
    </w:p>
    <w:sectPr w:rsidR="00680BC5" w:rsidRPr="00727A5D" w:rsidSect="00727A5D">
      <w:headerReference w:type="even" r:id="rId12"/>
      <w:headerReference w:type="default" r:id="rId13"/>
      <w:headerReference w:type="first" r:id="rId14"/>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BAC" w:rsidRDefault="00FE2BAC">
      <w:r>
        <w:separator/>
      </w:r>
    </w:p>
  </w:endnote>
  <w:endnote w:type="continuationSeparator" w:id="0">
    <w:p w:rsidR="00FE2BAC" w:rsidRDefault="00FE2B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BAC" w:rsidRDefault="00FE2BAC">
      <w:r>
        <w:separator/>
      </w:r>
    </w:p>
  </w:footnote>
  <w:footnote w:type="continuationSeparator" w:id="0">
    <w:p w:rsidR="00FE2BAC" w:rsidRDefault="00FE2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AC" w:rsidRDefault="001F4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916266" o:spid="_x0000_s1033" type="#_x0000_t136" style="position:absolute;margin-left:0;margin-top:0;width:479.65pt;height:159.85pt;rotation:315;z-index:-251657728;mso-position-horizontal:center;mso-position-horizontal-relative:margin;mso-position-vertical:center;mso-position-vertical-relative:margin" o:allowincell="f" fillcolor="silver" stroked="f">
          <v:fill opacity=".5"/>
          <v:textpath style="font-family:&quot;Times New Roman&quot;;font-size:1pt" string="POLICY"/>
          <w10:wrap anchorx="margin" anchory="margin"/>
        </v:shape>
      </w:pict>
    </w:r>
    <w:r>
      <w:rPr>
        <w:noProof/>
      </w:rPr>
      <w:pict>
        <v:shape id="PowerPlusWaterMarkObject2" o:spid="_x0000_s1026" type="#_x0000_t136" style="position:absolute;margin-left:0;margin-top:0;width:464.4pt;height:154.8pt;rotation:315;z-index:-251660800;mso-wrap-edited:f;mso-position-horizontal:center;mso-position-horizontal-relative:margin;mso-position-vertical:center;mso-position-vertical-relative:margin" wrapcoords="21285 4194 17796 4194 17761 4403 17726 5347 17273 4299 16749 3669 16540 4194 13957 4194 13992 4613 14586 7759 14551 12267 11620 4194 11445 3774 10294 11429 7886 5137 7293 3774 7083 4194 4815 4194 4815 4403 5408 8493 3454 4823 2407 4089 697 4194 34 4403 628 8388 628 15518 34 16776 244 17405 2791 17300 3349 16671 3838 15833 5129 17615 6734 17510 6804 17300 6525 15413 6176 13316 6595 14469 8235 17720 8409 17510 10608 17300 10642 17196 10363 14050 12248 17615 15912 17300 15947 17091 15318 14679 15318 12267 15702 11009 16610 12792 16749 12792 16784 12058 18424 16776 19087 18139 19436 17405 20553 17300 20553 17091 19959 14365 19959 7234 20064 5242 20936 6920 21390 7549 21495 7130 21425 4613 21285 4194" fillcolor="black" stroked="f">
          <v:fill opacity=".2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5" w:type="dxa"/>
      <w:jc w:val="center"/>
      <w:tblBorders>
        <w:top w:val="single" w:sz="12" w:space="0" w:color="999999"/>
        <w:bottom w:val="single" w:sz="12" w:space="0" w:color="999999"/>
      </w:tblBorders>
      <w:tblLayout w:type="fixed"/>
      <w:tblLook w:val="01E0"/>
    </w:tblPr>
    <w:tblGrid>
      <w:gridCol w:w="2484"/>
      <w:gridCol w:w="2196"/>
      <w:gridCol w:w="5045"/>
    </w:tblGrid>
    <w:tr w:rsidR="00FE2BAC" w:rsidRPr="00143A1B" w:rsidTr="00727A5D">
      <w:trPr>
        <w:trHeight w:hRule="exact" w:val="144"/>
        <w:jc w:val="center"/>
      </w:trPr>
      <w:tc>
        <w:tcPr>
          <w:tcW w:w="2484" w:type="dxa"/>
          <w:vMerge w:val="restart"/>
          <w:vAlign w:val="center"/>
        </w:tcPr>
        <w:p w:rsidR="00FE2BAC" w:rsidRPr="00143A1B" w:rsidRDefault="00727A5D" w:rsidP="00680BC5">
          <w:pPr>
            <w:autoSpaceDE w:val="0"/>
            <w:autoSpaceDN w:val="0"/>
            <w:adjustRightInd w:val="0"/>
            <w:jc w:val="center"/>
            <w:rPr>
              <w:rFonts w:ascii="Arial" w:hAnsi="Arial" w:cs="Arial"/>
              <w:b/>
              <w:bCs/>
            </w:rPr>
          </w:pPr>
          <w:r w:rsidRPr="001F4E83">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6.75pt">
                <v:imagedata r:id="rId1" o:title="ESD logo-2 color-hori"/>
              </v:shape>
            </w:pict>
          </w:r>
        </w:p>
      </w:tc>
      <w:tc>
        <w:tcPr>
          <w:tcW w:w="7241" w:type="dxa"/>
          <w:gridSpan w:val="2"/>
          <w:vAlign w:val="center"/>
        </w:tcPr>
        <w:p w:rsidR="00FE2BAC" w:rsidRPr="00143A1B" w:rsidRDefault="00FE2BAC" w:rsidP="00680BC5">
          <w:pPr>
            <w:autoSpaceDE w:val="0"/>
            <w:autoSpaceDN w:val="0"/>
            <w:adjustRightInd w:val="0"/>
            <w:rPr>
              <w:rFonts w:ascii="Arial" w:hAnsi="Arial" w:cs="Arial"/>
              <w:b/>
              <w:bCs/>
            </w:rPr>
          </w:pPr>
        </w:p>
      </w:tc>
    </w:tr>
    <w:tr w:rsidR="00FE2BAC" w:rsidRPr="00143A1B" w:rsidTr="00727A5D">
      <w:trPr>
        <w:jc w:val="center"/>
      </w:trPr>
      <w:tc>
        <w:tcPr>
          <w:tcW w:w="2484" w:type="dxa"/>
          <w:vMerge/>
        </w:tcPr>
        <w:p w:rsidR="00FE2BAC" w:rsidRPr="00143A1B" w:rsidRDefault="00FE2BAC" w:rsidP="00680BC5">
          <w:pPr>
            <w:autoSpaceDE w:val="0"/>
            <w:autoSpaceDN w:val="0"/>
            <w:adjustRightInd w:val="0"/>
            <w:jc w:val="center"/>
            <w:rPr>
              <w:sz w:val="22"/>
              <w:szCs w:val="22"/>
            </w:rPr>
          </w:pPr>
        </w:p>
      </w:tc>
      <w:tc>
        <w:tcPr>
          <w:tcW w:w="7241" w:type="dxa"/>
          <w:gridSpan w:val="2"/>
          <w:vAlign w:val="center"/>
        </w:tcPr>
        <w:p w:rsidR="00FE2BAC" w:rsidRPr="0072244C" w:rsidRDefault="00FE2BAC" w:rsidP="00680BC5">
          <w:pPr>
            <w:autoSpaceDE w:val="0"/>
            <w:autoSpaceDN w:val="0"/>
            <w:adjustRightInd w:val="0"/>
            <w:rPr>
              <w:rFonts w:ascii="Arial" w:hAnsi="Arial" w:cs="Arial"/>
              <w:b/>
              <w:bCs/>
              <w:sz w:val="22"/>
              <w:szCs w:val="22"/>
            </w:rPr>
          </w:pPr>
          <w:r w:rsidRPr="0072244C">
            <w:rPr>
              <w:rFonts w:ascii="Arial" w:hAnsi="Arial" w:cs="Arial"/>
              <w:b/>
              <w:bCs/>
              <w:sz w:val="22"/>
              <w:szCs w:val="22"/>
            </w:rPr>
            <w:t>Employment &amp; Career Development Division</w:t>
          </w:r>
        </w:p>
      </w:tc>
    </w:tr>
    <w:tr w:rsidR="00FE2BAC" w:rsidRPr="00143A1B" w:rsidTr="00727A5D">
      <w:trPr>
        <w:jc w:val="center"/>
      </w:trPr>
      <w:tc>
        <w:tcPr>
          <w:tcW w:w="2484" w:type="dxa"/>
          <w:vMerge/>
        </w:tcPr>
        <w:p w:rsidR="00FE2BAC" w:rsidRPr="00143A1B" w:rsidRDefault="00FE2BAC" w:rsidP="00680BC5">
          <w:pPr>
            <w:autoSpaceDE w:val="0"/>
            <w:autoSpaceDN w:val="0"/>
            <w:adjustRightInd w:val="0"/>
            <w:rPr>
              <w:rFonts w:ascii="Arial" w:hAnsi="Arial" w:cs="Arial"/>
              <w:b/>
              <w:bCs/>
            </w:rPr>
          </w:pPr>
        </w:p>
      </w:tc>
      <w:tc>
        <w:tcPr>
          <w:tcW w:w="7241" w:type="dxa"/>
          <w:gridSpan w:val="2"/>
        </w:tcPr>
        <w:p w:rsidR="00FE2BAC" w:rsidRPr="0072244C" w:rsidRDefault="00FE2BAC" w:rsidP="00763C70">
          <w:pPr>
            <w:autoSpaceDE w:val="0"/>
            <w:autoSpaceDN w:val="0"/>
            <w:adjustRightInd w:val="0"/>
            <w:rPr>
              <w:rFonts w:ascii="Arial" w:hAnsi="Arial" w:cs="Arial"/>
              <w:bCs/>
              <w:sz w:val="22"/>
              <w:szCs w:val="22"/>
            </w:rPr>
          </w:pPr>
          <w:r w:rsidRPr="0072244C">
            <w:rPr>
              <w:rFonts w:ascii="Arial" w:hAnsi="Arial" w:cs="Arial"/>
              <w:b/>
              <w:bCs/>
              <w:sz w:val="22"/>
              <w:szCs w:val="22"/>
            </w:rPr>
            <w:t xml:space="preserve">Code: </w:t>
          </w:r>
          <w:r w:rsidR="00763C70">
            <w:rPr>
              <w:rFonts w:ascii="Arial" w:hAnsi="Arial" w:cs="Arial"/>
              <w:bCs/>
              <w:sz w:val="22"/>
              <w:szCs w:val="22"/>
            </w:rPr>
            <w:t>AG</w:t>
          </w:r>
          <w:r w:rsidRPr="0072244C">
            <w:rPr>
              <w:rFonts w:ascii="Arial" w:hAnsi="Arial" w:cs="Arial"/>
              <w:bCs/>
              <w:sz w:val="22"/>
              <w:szCs w:val="22"/>
            </w:rPr>
            <w:t>-Policy-</w:t>
          </w:r>
          <w:r w:rsidR="00763C70">
            <w:rPr>
              <w:rFonts w:ascii="Arial" w:hAnsi="Arial" w:cs="Arial"/>
              <w:bCs/>
              <w:sz w:val="22"/>
              <w:szCs w:val="22"/>
            </w:rPr>
            <w:t>Labor Disp</w:t>
          </w:r>
          <w:r w:rsidR="00727A5D">
            <w:rPr>
              <w:rFonts w:ascii="Arial" w:hAnsi="Arial" w:cs="Arial"/>
              <w:bCs/>
              <w:sz w:val="22"/>
              <w:szCs w:val="22"/>
            </w:rPr>
            <w:t>utes Temp Seasonal Ag Emp</w:t>
          </w:r>
          <w:r w:rsidRPr="0072244C">
            <w:rPr>
              <w:rFonts w:ascii="Arial" w:hAnsi="Arial" w:cs="Arial"/>
              <w:bCs/>
              <w:sz w:val="22"/>
              <w:szCs w:val="22"/>
            </w:rPr>
            <w:t>-4</w:t>
          </w:r>
          <w:r w:rsidR="00763C70">
            <w:rPr>
              <w:rFonts w:ascii="Arial" w:hAnsi="Arial" w:cs="Arial"/>
              <w:bCs/>
              <w:sz w:val="22"/>
              <w:szCs w:val="22"/>
            </w:rPr>
            <w:t>064-0291</w:t>
          </w:r>
        </w:p>
      </w:tc>
    </w:tr>
    <w:tr w:rsidR="00FE2BAC" w:rsidRPr="00143A1B" w:rsidTr="00727A5D">
      <w:trPr>
        <w:trHeight w:val="225"/>
        <w:jc w:val="center"/>
      </w:trPr>
      <w:tc>
        <w:tcPr>
          <w:tcW w:w="2484" w:type="dxa"/>
          <w:vMerge/>
        </w:tcPr>
        <w:p w:rsidR="00FE2BAC" w:rsidRPr="00143A1B" w:rsidRDefault="00FE2BAC" w:rsidP="00680BC5">
          <w:pPr>
            <w:autoSpaceDE w:val="0"/>
            <w:autoSpaceDN w:val="0"/>
            <w:adjustRightInd w:val="0"/>
            <w:rPr>
              <w:rFonts w:ascii="Arial" w:hAnsi="Arial" w:cs="Arial"/>
              <w:b/>
              <w:bCs/>
            </w:rPr>
          </w:pPr>
        </w:p>
      </w:tc>
      <w:tc>
        <w:tcPr>
          <w:tcW w:w="7241" w:type="dxa"/>
          <w:gridSpan w:val="2"/>
        </w:tcPr>
        <w:p w:rsidR="00FE2BAC" w:rsidRPr="0072244C" w:rsidRDefault="00FE2BAC" w:rsidP="00763C70">
          <w:pPr>
            <w:autoSpaceDE w:val="0"/>
            <w:autoSpaceDN w:val="0"/>
            <w:adjustRightInd w:val="0"/>
            <w:rPr>
              <w:rFonts w:ascii="Arial" w:hAnsi="Arial" w:cs="Arial"/>
              <w:b/>
              <w:bCs/>
              <w:sz w:val="22"/>
              <w:szCs w:val="22"/>
            </w:rPr>
          </w:pPr>
          <w:r w:rsidRPr="0072244C">
            <w:rPr>
              <w:rFonts w:ascii="Arial" w:hAnsi="Arial" w:cs="Arial"/>
              <w:b/>
              <w:bCs/>
              <w:sz w:val="22"/>
              <w:szCs w:val="22"/>
            </w:rPr>
            <w:t>Page:</w:t>
          </w:r>
          <w:r w:rsidRPr="0072244C">
            <w:rPr>
              <w:rFonts w:ascii="Cambria" w:hAnsi="Cambria" w:cs="Arial"/>
              <w:b/>
              <w:bCs/>
              <w:sz w:val="22"/>
              <w:szCs w:val="22"/>
            </w:rPr>
            <w:t xml:space="preserve"> </w:t>
          </w:r>
          <w:r w:rsidR="001F4E83" w:rsidRPr="0072244C">
            <w:rPr>
              <w:rStyle w:val="PageNumber"/>
              <w:rFonts w:ascii="Arial" w:hAnsi="Arial" w:cs="Arial"/>
              <w:b/>
              <w:sz w:val="22"/>
              <w:szCs w:val="22"/>
            </w:rPr>
            <w:fldChar w:fldCharType="begin"/>
          </w:r>
          <w:r w:rsidRPr="0072244C">
            <w:rPr>
              <w:rStyle w:val="PageNumber"/>
              <w:rFonts w:ascii="Arial" w:hAnsi="Arial" w:cs="Arial"/>
              <w:b/>
              <w:sz w:val="22"/>
              <w:szCs w:val="22"/>
            </w:rPr>
            <w:instrText xml:space="preserve"> PAGE </w:instrText>
          </w:r>
          <w:r w:rsidR="001F4E83" w:rsidRPr="0072244C">
            <w:rPr>
              <w:rStyle w:val="PageNumber"/>
              <w:rFonts w:ascii="Arial" w:hAnsi="Arial" w:cs="Arial"/>
              <w:b/>
              <w:sz w:val="22"/>
              <w:szCs w:val="22"/>
            </w:rPr>
            <w:fldChar w:fldCharType="separate"/>
          </w:r>
          <w:r w:rsidR="00727A5D">
            <w:rPr>
              <w:rStyle w:val="PageNumber"/>
              <w:rFonts w:ascii="Arial" w:hAnsi="Arial" w:cs="Arial"/>
              <w:b/>
              <w:noProof/>
              <w:sz w:val="22"/>
              <w:szCs w:val="22"/>
            </w:rPr>
            <w:t>1</w:t>
          </w:r>
          <w:r w:rsidR="001F4E83" w:rsidRPr="0072244C">
            <w:rPr>
              <w:rStyle w:val="PageNumber"/>
              <w:rFonts w:ascii="Arial" w:hAnsi="Arial" w:cs="Arial"/>
              <w:b/>
              <w:sz w:val="22"/>
              <w:szCs w:val="22"/>
            </w:rPr>
            <w:fldChar w:fldCharType="end"/>
          </w:r>
          <w:r w:rsidRPr="0072244C">
            <w:rPr>
              <w:rStyle w:val="PageNumber"/>
              <w:rFonts w:ascii="Cambria" w:hAnsi="Cambria" w:cs="Arial"/>
              <w:b/>
              <w:sz w:val="22"/>
              <w:szCs w:val="22"/>
            </w:rPr>
            <w:t xml:space="preserve"> </w:t>
          </w:r>
          <w:r w:rsidRPr="0072244C">
            <w:rPr>
              <w:rStyle w:val="PageNumber"/>
              <w:rFonts w:ascii="Arial" w:hAnsi="Arial" w:cs="Arial"/>
              <w:b/>
              <w:sz w:val="22"/>
              <w:szCs w:val="22"/>
            </w:rPr>
            <w:t>of</w:t>
          </w:r>
          <w:r w:rsidRPr="0072244C">
            <w:rPr>
              <w:rStyle w:val="PageNumber"/>
              <w:rFonts w:ascii="Cambria" w:hAnsi="Cambria" w:cs="Arial"/>
              <w:b/>
              <w:sz w:val="22"/>
              <w:szCs w:val="22"/>
            </w:rPr>
            <w:t xml:space="preserve"> </w:t>
          </w:r>
          <w:r w:rsidR="001F4E83" w:rsidRPr="0072244C">
            <w:rPr>
              <w:rStyle w:val="PageNumber"/>
              <w:rFonts w:ascii="Arial" w:hAnsi="Arial" w:cs="Arial"/>
              <w:b/>
              <w:sz w:val="22"/>
              <w:szCs w:val="22"/>
            </w:rPr>
            <w:fldChar w:fldCharType="begin"/>
          </w:r>
          <w:r w:rsidRPr="0072244C">
            <w:rPr>
              <w:rStyle w:val="PageNumber"/>
              <w:rFonts w:ascii="Arial" w:hAnsi="Arial" w:cs="Arial"/>
              <w:b/>
              <w:sz w:val="22"/>
              <w:szCs w:val="22"/>
            </w:rPr>
            <w:instrText xml:space="preserve"> NUMPAGES </w:instrText>
          </w:r>
          <w:r w:rsidR="001F4E83" w:rsidRPr="0072244C">
            <w:rPr>
              <w:rStyle w:val="PageNumber"/>
              <w:rFonts w:ascii="Arial" w:hAnsi="Arial" w:cs="Arial"/>
              <w:b/>
              <w:sz w:val="22"/>
              <w:szCs w:val="22"/>
            </w:rPr>
            <w:fldChar w:fldCharType="separate"/>
          </w:r>
          <w:r w:rsidR="00727A5D">
            <w:rPr>
              <w:rStyle w:val="PageNumber"/>
              <w:rFonts w:ascii="Arial" w:hAnsi="Arial" w:cs="Arial"/>
              <w:b/>
              <w:noProof/>
              <w:sz w:val="22"/>
              <w:szCs w:val="22"/>
            </w:rPr>
            <w:t>2</w:t>
          </w:r>
          <w:r w:rsidR="001F4E83" w:rsidRPr="0072244C">
            <w:rPr>
              <w:rStyle w:val="PageNumber"/>
              <w:rFonts w:ascii="Arial" w:hAnsi="Arial" w:cs="Arial"/>
              <w:b/>
              <w:sz w:val="22"/>
              <w:szCs w:val="22"/>
            </w:rPr>
            <w:fldChar w:fldCharType="end"/>
          </w:r>
          <w:r w:rsidRPr="0072244C">
            <w:rPr>
              <w:rStyle w:val="PageNumber"/>
              <w:rFonts w:ascii="Arial" w:hAnsi="Arial" w:cs="Arial"/>
              <w:b/>
              <w:sz w:val="22"/>
              <w:szCs w:val="22"/>
            </w:rPr>
            <w:t xml:space="preserve"> | </w:t>
          </w:r>
          <w:r w:rsidR="00763C70">
            <w:rPr>
              <w:rStyle w:val="PageNumber"/>
              <w:rFonts w:ascii="Arial" w:hAnsi="Arial" w:cs="Arial"/>
              <w:b/>
              <w:sz w:val="22"/>
              <w:szCs w:val="22"/>
            </w:rPr>
            <w:t>February 4</w:t>
          </w:r>
          <w:r>
            <w:rPr>
              <w:rStyle w:val="PageNumber"/>
              <w:rFonts w:ascii="Arial" w:hAnsi="Arial" w:cs="Arial"/>
              <w:b/>
              <w:sz w:val="22"/>
              <w:szCs w:val="22"/>
            </w:rPr>
            <w:t xml:space="preserve">, </w:t>
          </w:r>
          <w:r w:rsidR="00763C70">
            <w:rPr>
              <w:rStyle w:val="PageNumber"/>
              <w:rFonts w:ascii="Arial" w:hAnsi="Arial" w:cs="Arial"/>
              <w:b/>
              <w:sz w:val="22"/>
              <w:szCs w:val="22"/>
            </w:rPr>
            <w:t>1991</w:t>
          </w:r>
        </w:p>
      </w:tc>
    </w:tr>
    <w:tr w:rsidR="00FE2BAC" w:rsidRPr="00143A1B" w:rsidTr="00727A5D">
      <w:trPr>
        <w:trHeight w:hRule="exact" w:val="144"/>
        <w:jc w:val="center"/>
      </w:trPr>
      <w:tc>
        <w:tcPr>
          <w:tcW w:w="2484" w:type="dxa"/>
          <w:vMerge/>
        </w:tcPr>
        <w:p w:rsidR="00FE2BAC" w:rsidRPr="00143A1B" w:rsidRDefault="00FE2BAC" w:rsidP="00680BC5">
          <w:pPr>
            <w:autoSpaceDE w:val="0"/>
            <w:autoSpaceDN w:val="0"/>
            <w:adjustRightInd w:val="0"/>
            <w:rPr>
              <w:rFonts w:ascii="Arial" w:hAnsi="Arial" w:cs="Arial"/>
              <w:b/>
              <w:bCs/>
            </w:rPr>
          </w:pPr>
        </w:p>
      </w:tc>
      <w:tc>
        <w:tcPr>
          <w:tcW w:w="2196" w:type="dxa"/>
        </w:tcPr>
        <w:p w:rsidR="00FE2BAC" w:rsidRPr="00143A1B" w:rsidRDefault="00FE2BAC" w:rsidP="00680BC5">
          <w:pPr>
            <w:autoSpaceDE w:val="0"/>
            <w:autoSpaceDN w:val="0"/>
            <w:adjustRightInd w:val="0"/>
            <w:rPr>
              <w:rFonts w:ascii="Arial" w:hAnsi="Arial" w:cs="Arial"/>
              <w:b/>
              <w:bCs/>
            </w:rPr>
          </w:pPr>
        </w:p>
      </w:tc>
      <w:tc>
        <w:tcPr>
          <w:tcW w:w="5045" w:type="dxa"/>
        </w:tcPr>
        <w:p w:rsidR="00FE2BAC" w:rsidRPr="00143A1B" w:rsidRDefault="00FE2BAC" w:rsidP="00680BC5">
          <w:pPr>
            <w:autoSpaceDE w:val="0"/>
            <w:autoSpaceDN w:val="0"/>
            <w:adjustRightInd w:val="0"/>
            <w:rPr>
              <w:rFonts w:ascii="Arial" w:hAnsi="Arial" w:cs="Arial"/>
              <w:b/>
              <w:bCs/>
            </w:rPr>
          </w:pPr>
        </w:p>
      </w:tc>
    </w:tr>
  </w:tbl>
  <w:p w:rsidR="00FE2BAC" w:rsidRDefault="00FE2B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AC" w:rsidRDefault="001F4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916265" o:spid="_x0000_s1032" type="#_x0000_t136" style="position:absolute;margin-left:0;margin-top:0;width:479.65pt;height:159.85pt;rotation:315;z-index:-251658752;mso-position-horizontal:center;mso-position-horizontal-relative:margin;mso-position-vertical:center;mso-position-vertical-relative:margin" o:allowincell="f" fillcolor="silver" stroked="f">
          <v:fill opacity=".5"/>
          <v:textpath style="font-family:&quot;Times New Roman&quot;;font-size:1pt" string="POLICY"/>
          <w10:wrap anchorx="margin" anchory="margin"/>
        </v:shape>
      </w:pict>
    </w:r>
    <w:r>
      <w:rPr>
        <w:noProof/>
      </w:rPr>
      <w:pict>
        <v:shape id="PowerPlusWaterMarkObject3" o:spid="_x0000_s1027" type="#_x0000_t136" style="position:absolute;margin-left:0;margin-top:0;width:464.4pt;height:154.8pt;rotation:315;z-index:-251659776;mso-wrap-edited:f;mso-position-horizontal:center;mso-position-horizontal-relative:margin;mso-position-vertical:center;mso-position-vertical-relative:margin" wrapcoords="21285 4194 17796 4194 17761 4403 17726 5347 17273 4299 16749 3669 16540 4194 13957 4194 13992 4613 14586 7759 14551 12267 11620 4194 11445 3774 10294 11429 7886 5137 7293 3774 7083 4194 4815 4194 4815 4403 5408 8493 3454 4823 2407 4089 697 4194 34 4403 628 8388 628 15518 34 16776 244 17405 2791 17300 3349 16671 3838 15833 5129 17615 6734 17510 6804 17300 6525 15413 6176 13316 6595 14469 8235 17720 8409 17510 10608 17300 10642 17196 10363 14050 12248 17615 15912 17300 15947 17091 15318 14679 15318 12267 15702 11009 16610 12792 16749 12792 16784 12058 18424 16776 19087 18139 19436 17405 20553 17300 20553 17091 19959 14365 19959 7234 20064 5242 20936 6920 21390 7549 21495 7130 21425 4613 21285 4194" fillcolor="black" stroked="f">
          <v:fill opacity=".2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60D1"/>
    <w:multiLevelType w:val="hybridMultilevel"/>
    <w:tmpl w:val="1268A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B7ADF"/>
    <w:multiLevelType w:val="hybridMultilevel"/>
    <w:tmpl w:val="427051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F541A"/>
    <w:multiLevelType w:val="hybridMultilevel"/>
    <w:tmpl w:val="36469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A697A"/>
    <w:multiLevelType w:val="hybridMultilevel"/>
    <w:tmpl w:val="525638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56D43F5"/>
    <w:multiLevelType w:val="multilevel"/>
    <w:tmpl w:val="877AE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732012"/>
    <w:multiLevelType w:val="hybridMultilevel"/>
    <w:tmpl w:val="1980BA7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452B37C4"/>
    <w:multiLevelType w:val="hybridMultilevel"/>
    <w:tmpl w:val="48845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A28C0"/>
    <w:multiLevelType w:val="hybridMultilevel"/>
    <w:tmpl w:val="6A2A473A"/>
    <w:lvl w:ilvl="0" w:tplc="DACEC104">
      <w:start w:val="1"/>
      <w:numFmt w:val="decimal"/>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63C96"/>
    <w:multiLevelType w:val="hybridMultilevel"/>
    <w:tmpl w:val="F468F850"/>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9">
    <w:nsid w:val="57273496"/>
    <w:multiLevelType w:val="hybridMultilevel"/>
    <w:tmpl w:val="53787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734FE5"/>
    <w:multiLevelType w:val="hybridMultilevel"/>
    <w:tmpl w:val="B3C89E0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nsid w:val="5C626985"/>
    <w:multiLevelType w:val="hybridMultilevel"/>
    <w:tmpl w:val="BF105E0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5DE15CCB"/>
    <w:multiLevelType w:val="multilevel"/>
    <w:tmpl w:val="4E8A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412B9E"/>
    <w:multiLevelType w:val="hybridMultilevel"/>
    <w:tmpl w:val="F20C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E266E3"/>
    <w:multiLevelType w:val="hybridMultilevel"/>
    <w:tmpl w:val="473AE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C55F9A"/>
    <w:multiLevelType w:val="hybridMultilevel"/>
    <w:tmpl w:val="E6587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1"/>
  </w:num>
  <w:num w:numId="4">
    <w:abstractNumId w:val="10"/>
  </w:num>
  <w:num w:numId="5">
    <w:abstractNumId w:val="8"/>
  </w:num>
  <w:num w:numId="6">
    <w:abstractNumId w:val="3"/>
  </w:num>
  <w:num w:numId="7">
    <w:abstractNumId w:val="0"/>
  </w:num>
  <w:num w:numId="8">
    <w:abstractNumId w:val="15"/>
  </w:num>
  <w:num w:numId="9">
    <w:abstractNumId w:val="14"/>
  </w:num>
  <w:num w:numId="10">
    <w:abstractNumId w:val="4"/>
  </w:num>
  <w:num w:numId="11">
    <w:abstractNumId w:val="13"/>
  </w:num>
  <w:num w:numId="12">
    <w:abstractNumId w:val="2"/>
  </w:num>
  <w:num w:numId="13">
    <w:abstractNumId w:val="1"/>
  </w:num>
  <w:num w:numId="14">
    <w:abstractNumId w:val="6"/>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hideGrammaticalErrors/>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7F9B"/>
    <w:rsid w:val="00033311"/>
    <w:rsid w:val="0007498F"/>
    <w:rsid w:val="00097F9B"/>
    <w:rsid w:val="000C089E"/>
    <w:rsid w:val="000D1D42"/>
    <w:rsid w:val="001F4E83"/>
    <w:rsid w:val="00256DA9"/>
    <w:rsid w:val="002E0659"/>
    <w:rsid w:val="00334544"/>
    <w:rsid w:val="00437608"/>
    <w:rsid w:val="00501AD0"/>
    <w:rsid w:val="00553DB9"/>
    <w:rsid w:val="005D5098"/>
    <w:rsid w:val="005F3339"/>
    <w:rsid w:val="00680BC5"/>
    <w:rsid w:val="0072244C"/>
    <w:rsid w:val="00727A5D"/>
    <w:rsid w:val="00763C70"/>
    <w:rsid w:val="00775447"/>
    <w:rsid w:val="007C08BB"/>
    <w:rsid w:val="00966894"/>
    <w:rsid w:val="00A42B1B"/>
    <w:rsid w:val="00BC25C2"/>
    <w:rsid w:val="00C231BF"/>
    <w:rsid w:val="00D4261F"/>
    <w:rsid w:val="00D44FC1"/>
    <w:rsid w:val="00F912E4"/>
    <w:rsid w:val="00FE2B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1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59F7"/>
    <w:pPr>
      <w:tabs>
        <w:tab w:val="center" w:pos="4320"/>
        <w:tab w:val="right" w:pos="8640"/>
      </w:tabs>
    </w:pPr>
  </w:style>
  <w:style w:type="paragraph" w:styleId="Footer">
    <w:name w:val="footer"/>
    <w:basedOn w:val="Normal"/>
    <w:rsid w:val="008959F7"/>
    <w:pPr>
      <w:tabs>
        <w:tab w:val="center" w:pos="4320"/>
        <w:tab w:val="right" w:pos="8640"/>
      </w:tabs>
    </w:pPr>
  </w:style>
  <w:style w:type="character" w:styleId="PageNumber">
    <w:name w:val="page number"/>
    <w:basedOn w:val="DefaultParagraphFont"/>
    <w:rsid w:val="008959F7"/>
  </w:style>
  <w:style w:type="paragraph" w:styleId="BalloonText">
    <w:name w:val="Balloon Text"/>
    <w:basedOn w:val="Normal"/>
    <w:semiHidden/>
    <w:rsid w:val="00C24274"/>
    <w:rPr>
      <w:rFonts w:ascii="Tahoma" w:hAnsi="Tahoma" w:cs="Tahoma"/>
      <w:sz w:val="16"/>
      <w:szCs w:val="16"/>
    </w:rPr>
  </w:style>
  <w:style w:type="character" w:styleId="Hyperlink">
    <w:name w:val="Hyperlink"/>
    <w:basedOn w:val="DefaultParagraphFont"/>
    <w:rsid w:val="0059747E"/>
    <w:rPr>
      <w:color w:val="0000FF"/>
      <w:u w:val="single"/>
    </w:rPr>
  </w:style>
  <w:style w:type="character" w:styleId="CommentReference">
    <w:name w:val="annotation reference"/>
    <w:basedOn w:val="DefaultParagraphFont"/>
    <w:semiHidden/>
    <w:rsid w:val="009C707F"/>
    <w:rPr>
      <w:sz w:val="16"/>
      <w:szCs w:val="16"/>
    </w:rPr>
  </w:style>
  <w:style w:type="paragraph" w:styleId="CommentText">
    <w:name w:val="annotation text"/>
    <w:basedOn w:val="Normal"/>
    <w:semiHidden/>
    <w:rsid w:val="009C707F"/>
    <w:rPr>
      <w:sz w:val="20"/>
      <w:szCs w:val="20"/>
    </w:rPr>
  </w:style>
  <w:style w:type="paragraph" w:styleId="CommentSubject">
    <w:name w:val="annotation subject"/>
    <w:basedOn w:val="CommentText"/>
    <w:next w:val="CommentText"/>
    <w:semiHidden/>
    <w:rsid w:val="009C707F"/>
    <w:rPr>
      <w:b/>
      <w:bCs/>
    </w:rPr>
  </w:style>
  <w:style w:type="paragraph" w:styleId="NormalWeb">
    <w:name w:val="Normal (Web)"/>
    <w:basedOn w:val="Normal"/>
    <w:uiPriority w:val="99"/>
    <w:unhideWhenUsed/>
    <w:rsid w:val="00763C7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0216742">
      <w:bodyDiv w:val="1"/>
      <w:marLeft w:val="0"/>
      <w:marRight w:val="0"/>
      <w:marTop w:val="0"/>
      <w:marBottom w:val="0"/>
      <w:divBdr>
        <w:top w:val="none" w:sz="0" w:space="0" w:color="auto"/>
        <w:left w:val="none" w:sz="0" w:space="0" w:color="auto"/>
        <w:bottom w:val="none" w:sz="0" w:space="0" w:color="auto"/>
        <w:right w:val="none" w:sz="0" w:space="0" w:color="auto"/>
      </w:divBdr>
      <w:divsChild>
        <w:div w:id="1821775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4263494">
      <w:bodyDiv w:val="1"/>
      <w:marLeft w:val="0"/>
      <w:marRight w:val="0"/>
      <w:marTop w:val="0"/>
      <w:marBottom w:val="0"/>
      <w:divBdr>
        <w:top w:val="none" w:sz="0" w:space="0" w:color="auto"/>
        <w:left w:val="none" w:sz="0" w:space="0" w:color="auto"/>
        <w:bottom w:val="none" w:sz="0" w:space="0" w:color="auto"/>
        <w:right w:val="none" w:sz="0" w:space="0" w:color="auto"/>
      </w:divBdr>
      <w:divsChild>
        <w:div w:id="279537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485361">
      <w:bodyDiv w:val="1"/>
      <w:marLeft w:val="0"/>
      <w:marRight w:val="0"/>
      <w:marTop w:val="0"/>
      <w:marBottom w:val="0"/>
      <w:divBdr>
        <w:top w:val="none" w:sz="0" w:space="0" w:color="auto"/>
        <w:left w:val="none" w:sz="0" w:space="0" w:color="auto"/>
        <w:bottom w:val="none" w:sz="0" w:space="0" w:color="auto"/>
        <w:right w:val="none" w:sz="0" w:space="0" w:color="auto"/>
      </w:divBdr>
      <w:divsChild>
        <w:div w:id="1598831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gov/esd/policies/documents/4064.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9F353A90175844A873FD5F76B3F9D5" ma:contentTypeVersion="2" ma:contentTypeDescription="Create a new document." ma:contentTypeScope="" ma:versionID="7309324ba73ee8a486e8c5c14c3a5a00">
  <xsd:schema xmlns:xsd="http://www.w3.org/2001/XMLSchema" xmlns:p="http://schemas.microsoft.com/office/2006/metadata/properties" targetNamespace="http://schemas.microsoft.com/office/2006/metadata/properties" ma:root="true" ma:fieldsID="0888227f0583de4b45fdba17b7fe2b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68D9-EEB9-4F1F-9292-3F1A2FFAD083}">
  <ds:schemaRefs>
    <ds:schemaRef ds:uri="http://schemas.microsoft.com/sharepoint/v3/contenttype/forms"/>
  </ds:schemaRefs>
</ds:datastoreItem>
</file>

<file path=customXml/itemProps2.xml><?xml version="1.0" encoding="utf-8"?>
<ds:datastoreItem xmlns:ds="http://schemas.openxmlformats.org/officeDocument/2006/customXml" ds:itemID="{F464B7C7-42D0-49E2-859E-2D9F05D20CF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6103D7A7-8149-4FBE-B055-71B42E796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DC0CA4-4170-4789-8116-2A6164AC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743</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Employment Security Department</vt:lpstr>
    </vt:vector>
  </TitlesOfParts>
  <Company>Employment Security Department</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Security Department</dc:title>
  <dc:subject/>
  <dc:creator>Employment Security Department</dc:creator>
  <cp:keywords/>
  <dc:description/>
  <cp:lastModifiedBy>mmcmurry</cp:lastModifiedBy>
  <cp:revision>3</cp:revision>
  <cp:lastPrinted>2010-02-25T17:20:00Z</cp:lastPrinted>
  <dcterms:created xsi:type="dcterms:W3CDTF">2010-06-21T17:55:00Z</dcterms:created>
  <dcterms:modified xsi:type="dcterms:W3CDTF">2011-03-02T18:32:00Z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0x0101001F9F353A90175844A873FD5F76B3F9D5</vt:lpwstr>
  </property>
</Properties>
</file>