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C5" w:rsidRPr="00615705" w:rsidRDefault="004A0864" w:rsidP="00680BC5">
      <w:pPr>
        <w:autoSpaceDE w:val="0"/>
        <w:autoSpaceDN w:val="0"/>
        <w:adjustRightInd w:val="0"/>
        <w:rPr>
          <w:rFonts w:ascii="Arial" w:hAnsi="Arial" w:cs="Arial"/>
          <w:bCs/>
          <w:color w:val="FF0000"/>
          <w:sz w:val="22"/>
          <w:szCs w:val="22"/>
        </w:rPr>
      </w:pPr>
      <w:r w:rsidRPr="00615705">
        <w:rPr>
          <w:rFonts w:ascii="Arial" w:hAnsi="Arial" w:cs="Arial"/>
          <w:b/>
          <w:bCs/>
          <w:color w:val="FF0000"/>
          <w:sz w:val="22"/>
          <w:szCs w:val="22"/>
        </w:rPr>
        <w:t>Agriculture Operations</w:t>
      </w:r>
      <w:r w:rsidR="000D1D42" w:rsidRPr="00615705">
        <w:rPr>
          <w:rFonts w:ascii="Arial" w:hAnsi="Arial" w:cs="Arial"/>
          <w:b/>
          <w:bCs/>
          <w:color w:val="FF0000"/>
          <w:sz w:val="22"/>
          <w:szCs w:val="22"/>
        </w:rPr>
        <w:t xml:space="preserve">, </w:t>
      </w:r>
      <w:r w:rsidRPr="00615705">
        <w:rPr>
          <w:rFonts w:ascii="Arial" w:hAnsi="Arial" w:cs="Arial"/>
          <w:b/>
          <w:bCs/>
          <w:color w:val="FF0000"/>
          <w:sz w:val="22"/>
          <w:szCs w:val="22"/>
        </w:rPr>
        <w:t xml:space="preserve">Migrant and Seasonal Farmworker Complaint </w:t>
      </w:r>
      <w:r w:rsidR="00615705" w:rsidRPr="00615705">
        <w:rPr>
          <w:rFonts w:ascii="Arial" w:hAnsi="Arial" w:cs="Arial"/>
          <w:b/>
          <w:bCs/>
          <w:color w:val="FF0000"/>
          <w:sz w:val="22"/>
          <w:szCs w:val="22"/>
        </w:rPr>
        <w:t>Policy</w:t>
      </w:r>
    </w:p>
    <w:p w:rsidR="00BC25C2" w:rsidRPr="00615705" w:rsidRDefault="00BC25C2" w:rsidP="00680BC5">
      <w:pPr>
        <w:autoSpaceDE w:val="0"/>
        <w:autoSpaceDN w:val="0"/>
        <w:adjustRightInd w:val="0"/>
        <w:rPr>
          <w:rFonts w:ascii="Arial" w:hAnsi="Arial" w:cs="Arial"/>
          <w:b/>
          <w:bCs/>
          <w:sz w:val="22"/>
          <w:szCs w:val="22"/>
        </w:rPr>
      </w:pPr>
    </w:p>
    <w:p w:rsidR="00BC25C2" w:rsidRPr="00615705" w:rsidRDefault="00BC25C2" w:rsidP="00057FC2">
      <w:pPr>
        <w:spacing w:after="120"/>
        <w:rPr>
          <w:rFonts w:ascii="Arial" w:hAnsi="Arial" w:cs="Arial"/>
          <w:b/>
          <w:bCs/>
          <w:sz w:val="22"/>
          <w:szCs w:val="22"/>
        </w:rPr>
      </w:pPr>
      <w:r w:rsidRPr="00615705">
        <w:rPr>
          <w:rFonts w:ascii="Arial" w:hAnsi="Arial" w:cs="Arial"/>
          <w:b/>
          <w:bCs/>
          <w:sz w:val="22"/>
          <w:szCs w:val="22"/>
        </w:rPr>
        <w:t>REFERENCES</w:t>
      </w:r>
    </w:p>
    <w:p w:rsidR="004A0864" w:rsidRPr="00615705" w:rsidRDefault="004A0864" w:rsidP="004A0864">
      <w:pPr>
        <w:autoSpaceDE w:val="0"/>
        <w:autoSpaceDN w:val="0"/>
        <w:adjustRightInd w:val="0"/>
        <w:rPr>
          <w:rFonts w:ascii="Arial" w:hAnsi="Arial" w:cs="Arial"/>
          <w:bCs/>
          <w:sz w:val="22"/>
          <w:szCs w:val="22"/>
        </w:rPr>
      </w:pPr>
      <w:r w:rsidRPr="00615705">
        <w:rPr>
          <w:rFonts w:ascii="Arial" w:hAnsi="Arial" w:cs="Arial"/>
          <w:bCs/>
          <w:sz w:val="22"/>
          <w:szCs w:val="22"/>
        </w:rPr>
        <w:t>WIA Policy 4061 – Migrant and Seasonal Farmworker Complaint Policy</w:t>
      </w:r>
    </w:p>
    <w:p w:rsidR="00BC25C2" w:rsidRPr="00615705" w:rsidRDefault="00BC25C2" w:rsidP="00680BC5">
      <w:pPr>
        <w:autoSpaceDE w:val="0"/>
        <w:autoSpaceDN w:val="0"/>
        <w:adjustRightInd w:val="0"/>
        <w:rPr>
          <w:rFonts w:ascii="Arial" w:hAnsi="Arial" w:cs="Arial"/>
          <w:b/>
          <w:bCs/>
          <w:sz w:val="22"/>
          <w:szCs w:val="22"/>
        </w:rPr>
      </w:pPr>
    </w:p>
    <w:p w:rsidR="004A0864" w:rsidRPr="00615705" w:rsidRDefault="00680BC5" w:rsidP="00057FC2">
      <w:pPr>
        <w:autoSpaceDE w:val="0"/>
        <w:autoSpaceDN w:val="0"/>
        <w:adjustRightInd w:val="0"/>
        <w:spacing w:after="120"/>
        <w:rPr>
          <w:rFonts w:ascii="Arial" w:hAnsi="Arial" w:cs="Arial"/>
          <w:b/>
          <w:bCs/>
          <w:sz w:val="22"/>
          <w:szCs w:val="22"/>
        </w:rPr>
      </w:pPr>
      <w:r w:rsidRPr="00615705">
        <w:rPr>
          <w:rFonts w:ascii="Arial" w:hAnsi="Arial" w:cs="Arial"/>
          <w:b/>
          <w:bCs/>
          <w:sz w:val="22"/>
          <w:szCs w:val="22"/>
        </w:rPr>
        <w:t xml:space="preserve">PURPOSE </w:t>
      </w:r>
    </w:p>
    <w:p w:rsidR="004A0864" w:rsidRPr="00615705" w:rsidRDefault="004A0864" w:rsidP="004A0864">
      <w:pPr>
        <w:pStyle w:val="BodyText"/>
        <w:spacing w:after="0"/>
        <w:rPr>
          <w:rFonts w:ascii="Arial" w:hAnsi="Arial"/>
          <w:sz w:val="22"/>
          <w:szCs w:val="22"/>
        </w:rPr>
      </w:pPr>
      <w:r w:rsidRPr="00615705">
        <w:rPr>
          <w:rFonts w:ascii="Arial" w:hAnsi="Arial"/>
          <w:sz w:val="22"/>
          <w:szCs w:val="22"/>
        </w:rPr>
        <w:t>The Department of Labor Code of Federal Regulations 658.410 requires each State Workforce Agency to establish and maintain a uniform system for accepting, investigating, resolving, and referring complaints and apparent violations through Wagner-Peyser services. These procedures are in accordance with Federal Regulations 20 CFR Subpart E 658.400 - 418 Job Service Complaint System; 20 CFR Subpart B 653.107 (k) (m) Outreach; 653.113 Apparent violations, and 653.503 Field Checks.</w:t>
      </w:r>
    </w:p>
    <w:p w:rsidR="00334544" w:rsidRPr="00615705" w:rsidRDefault="00334544" w:rsidP="00680BC5">
      <w:pPr>
        <w:autoSpaceDE w:val="0"/>
        <w:autoSpaceDN w:val="0"/>
        <w:adjustRightInd w:val="0"/>
        <w:rPr>
          <w:rFonts w:ascii="Arial" w:hAnsi="Arial" w:cs="Arial"/>
          <w:b/>
          <w:bCs/>
          <w:sz w:val="22"/>
          <w:szCs w:val="22"/>
        </w:rPr>
      </w:pPr>
    </w:p>
    <w:p w:rsidR="004A0864" w:rsidRPr="00615705" w:rsidRDefault="00680BC5" w:rsidP="00057FC2">
      <w:pPr>
        <w:autoSpaceDE w:val="0"/>
        <w:autoSpaceDN w:val="0"/>
        <w:adjustRightInd w:val="0"/>
        <w:spacing w:after="120"/>
        <w:rPr>
          <w:rFonts w:ascii="Arial" w:hAnsi="Arial" w:cs="Arial"/>
          <w:b/>
          <w:bCs/>
          <w:sz w:val="22"/>
          <w:szCs w:val="22"/>
        </w:rPr>
      </w:pPr>
      <w:r w:rsidRPr="00615705">
        <w:rPr>
          <w:rFonts w:ascii="Arial" w:hAnsi="Arial" w:cs="Arial"/>
          <w:b/>
          <w:bCs/>
          <w:sz w:val="22"/>
          <w:szCs w:val="22"/>
        </w:rPr>
        <w:t>PERSONS AFFECTED</w:t>
      </w:r>
      <w:r w:rsidR="00D4261F" w:rsidRPr="00615705">
        <w:rPr>
          <w:rFonts w:ascii="Arial" w:hAnsi="Arial" w:cs="Arial"/>
          <w:b/>
          <w:bCs/>
          <w:sz w:val="22"/>
          <w:szCs w:val="22"/>
        </w:rPr>
        <w:t xml:space="preserve"> </w:t>
      </w:r>
    </w:p>
    <w:p w:rsidR="00680BC5" w:rsidRPr="00615705" w:rsidRDefault="004A0864" w:rsidP="00680BC5">
      <w:pPr>
        <w:autoSpaceDE w:val="0"/>
        <w:autoSpaceDN w:val="0"/>
        <w:adjustRightInd w:val="0"/>
        <w:rPr>
          <w:rFonts w:ascii="Arial" w:hAnsi="Arial" w:cs="Arial"/>
          <w:bCs/>
          <w:sz w:val="22"/>
          <w:szCs w:val="22"/>
        </w:rPr>
      </w:pPr>
      <w:r w:rsidRPr="00615705">
        <w:rPr>
          <w:rFonts w:ascii="Arial" w:hAnsi="Arial" w:cs="Arial"/>
          <w:bCs/>
          <w:sz w:val="22"/>
          <w:szCs w:val="22"/>
        </w:rPr>
        <w:t xml:space="preserve">ESD WorkSource </w:t>
      </w:r>
      <w:r w:rsidR="00D4261F" w:rsidRPr="00615705">
        <w:rPr>
          <w:rFonts w:ascii="Arial" w:hAnsi="Arial" w:cs="Arial"/>
          <w:bCs/>
          <w:sz w:val="22"/>
          <w:szCs w:val="22"/>
        </w:rPr>
        <w:t>Staff</w:t>
      </w:r>
      <w:r w:rsidRPr="00615705">
        <w:rPr>
          <w:rFonts w:ascii="Arial" w:hAnsi="Arial" w:cs="Arial"/>
          <w:bCs/>
          <w:sz w:val="22"/>
          <w:szCs w:val="22"/>
        </w:rPr>
        <w:t xml:space="preserve"> and </w:t>
      </w:r>
      <w:r w:rsidR="00D4261F" w:rsidRPr="00615705">
        <w:rPr>
          <w:rFonts w:ascii="Arial" w:hAnsi="Arial" w:cs="Arial"/>
          <w:bCs/>
          <w:sz w:val="22"/>
          <w:szCs w:val="22"/>
        </w:rPr>
        <w:t>Management</w:t>
      </w:r>
    </w:p>
    <w:p w:rsidR="00680BC5" w:rsidRPr="00615705" w:rsidRDefault="00680BC5" w:rsidP="00680BC5">
      <w:pPr>
        <w:autoSpaceDE w:val="0"/>
        <w:autoSpaceDN w:val="0"/>
        <w:adjustRightInd w:val="0"/>
        <w:rPr>
          <w:rFonts w:ascii="Arial" w:hAnsi="Arial" w:cs="Arial"/>
          <w:b/>
          <w:bCs/>
          <w:sz w:val="22"/>
          <w:szCs w:val="22"/>
        </w:rPr>
      </w:pPr>
    </w:p>
    <w:p w:rsidR="004A0864" w:rsidRPr="00615705" w:rsidRDefault="00680BC5" w:rsidP="00057FC2">
      <w:pPr>
        <w:spacing w:after="120"/>
        <w:rPr>
          <w:rFonts w:ascii="Arial" w:hAnsi="Arial" w:cs="Arial"/>
          <w:b/>
          <w:bCs/>
          <w:sz w:val="22"/>
          <w:szCs w:val="22"/>
        </w:rPr>
      </w:pPr>
      <w:r w:rsidRPr="00615705">
        <w:rPr>
          <w:rFonts w:ascii="Arial" w:hAnsi="Arial" w:cs="Arial"/>
          <w:b/>
          <w:bCs/>
          <w:sz w:val="22"/>
          <w:szCs w:val="22"/>
        </w:rPr>
        <w:t>DEFINITIONS</w:t>
      </w:r>
      <w:r w:rsidR="00437608" w:rsidRPr="00615705">
        <w:rPr>
          <w:rFonts w:ascii="Arial" w:hAnsi="Arial" w:cs="Arial"/>
          <w:b/>
          <w:bCs/>
          <w:sz w:val="22"/>
          <w:szCs w:val="22"/>
        </w:rPr>
        <w:t xml:space="preserve"> </w:t>
      </w:r>
    </w:p>
    <w:p w:rsidR="004A0864" w:rsidRPr="00615705" w:rsidRDefault="004A0864" w:rsidP="004A0864">
      <w:pPr>
        <w:rPr>
          <w:rFonts w:ascii="Arial" w:hAnsi="Arial"/>
          <w:sz w:val="22"/>
          <w:szCs w:val="22"/>
        </w:rPr>
      </w:pPr>
      <w:r w:rsidRPr="00615705">
        <w:rPr>
          <w:rFonts w:ascii="Arial" w:hAnsi="Arial"/>
          <w:b/>
          <w:sz w:val="22"/>
          <w:szCs w:val="22"/>
        </w:rPr>
        <w:t>Employment Services Regulations</w:t>
      </w:r>
      <w:r w:rsidRPr="00615705">
        <w:rPr>
          <w:rFonts w:ascii="Arial" w:hAnsi="Arial"/>
          <w:sz w:val="22"/>
          <w:szCs w:val="22"/>
        </w:rPr>
        <w:t xml:space="preserve"> means Federal Regulations found in the Federal Register 20 CFR Parts 601 - 604, 620, 621, and 651 - 658 and 29 CFR Parts 8, 26, and 75.</w:t>
      </w:r>
    </w:p>
    <w:p w:rsidR="004A0864" w:rsidRPr="00615705" w:rsidRDefault="004A0864" w:rsidP="004A0864">
      <w:pPr>
        <w:pStyle w:val="BodyText"/>
        <w:spacing w:after="0"/>
        <w:rPr>
          <w:rFonts w:ascii="Arial" w:hAnsi="Arial"/>
          <w:sz w:val="22"/>
          <w:szCs w:val="22"/>
        </w:rPr>
      </w:pPr>
    </w:p>
    <w:p w:rsidR="004A0864" w:rsidRPr="00615705" w:rsidRDefault="004A0864" w:rsidP="004A0864">
      <w:pPr>
        <w:pStyle w:val="BodyText"/>
        <w:spacing w:after="0"/>
        <w:rPr>
          <w:rFonts w:ascii="Arial" w:hAnsi="Arial"/>
          <w:sz w:val="22"/>
          <w:szCs w:val="22"/>
        </w:rPr>
      </w:pPr>
      <w:r w:rsidRPr="00615705">
        <w:rPr>
          <w:rFonts w:ascii="Arial" w:hAnsi="Arial"/>
          <w:b/>
          <w:sz w:val="22"/>
          <w:szCs w:val="22"/>
        </w:rPr>
        <w:t>A complaint</w:t>
      </w:r>
      <w:r w:rsidRPr="00615705">
        <w:rPr>
          <w:rFonts w:ascii="Arial" w:hAnsi="Arial"/>
          <w:sz w:val="22"/>
          <w:szCs w:val="22"/>
        </w:rPr>
        <w:t xml:space="preserve"> is a written and signed document alleging violation of Wagner-Peyser regulations and/or Federal, State or local employment related laws.</w:t>
      </w:r>
      <w:r w:rsidRPr="00615705">
        <w:rPr>
          <w:rFonts w:ascii="Arial" w:hAnsi="Arial"/>
          <w:sz w:val="22"/>
          <w:szCs w:val="22"/>
        </w:rPr>
        <w:br/>
      </w:r>
    </w:p>
    <w:p w:rsidR="004A0864" w:rsidRPr="00615705" w:rsidRDefault="004A0864" w:rsidP="004A0864">
      <w:pPr>
        <w:pStyle w:val="BodyText"/>
        <w:spacing w:after="0"/>
        <w:rPr>
          <w:rFonts w:ascii="Arial" w:hAnsi="Arial"/>
          <w:sz w:val="22"/>
          <w:szCs w:val="22"/>
        </w:rPr>
      </w:pPr>
      <w:r w:rsidRPr="00615705">
        <w:rPr>
          <w:rFonts w:ascii="Arial" w:hAnsi="Arial"/>
          <w:b/>
          <w:sz w:val="22"/>
          <w:szCs w:val="22"/>
        </w:rPr>
        <w:t>An apparent violation</w:t>
      </w:r>
      <w:r w:rsidRPr="00615705">
        <w:rPr>
          <w:rFonts w:ascii="Arial" w:hAnsi="Arial"/>
          <w:sz w:val="22"/>
          <w:szCs w:val="22"/>
        </w:rPr>
        <w:t xml:space="preserve"> is a representation made or referred to a state or local Employment Security Department employee based on a personal observation, or a reasonable belief or receipt of information regarding a suspected violation of employment related law(s), or Employment Services regulations. </w:t>
      </w:r>
    </w:p>
    <w:p w:rsidR="004A0864" w:rsidRPr="00615705" w:rsidRDefault="004A0864" w:rsidP="004A0864">
      <w:pPr>
        <w:pStyle w:val="BodyText"/>
        <w:spacing w:after="0"/>
        <w:rPr>
          <w:rFonts w:ascii="Arial" w:hAnsi="Arial"/>
          <w:sz w:val="22"/>
          <w:szCs w:val="22"/>
        </w:rPr>
      </w:pPr>
    </w:p>
    <w:p w:rsidR="004A0864" w:rsidRPr="00615705" w:rsidRDefault="004A0864" w:rsidP="004A0864">
      <w:pPr>
        <w:pStyle w:val="BodyText"/>
        <w:spacing w:after="0"/>
        <w:rPr>
          <w:rFonts w:ascii="Arial" w:hAnsi="Arial"/>
          <w:sz w:val="22"/>
          <w:szCs w:val="22"/>
        </w:rPr>
      </w:pPr>
      <w:r w:rsidRPr="00615705">
        <w:rPr>
          <w:rFonts w:ascii="Arial" w:hAnsi="Arial"/>
          <w:b/>
          <w:sz w:val="22"/>
          <w:szCs w:val="22"/>
        </w:rPr>
        <w:t>Complainant</w:t>
      </w:r>
      <w:r w:rsidRPr="00615705">
        <w:rPr>
          <w:rFonts w:ascii="Arial" w:hAnsi="Arial"/>
          <w:sz w:val="22"/>
          <w:szCs w:val="22"/>
        </w:rPr>
        <w:t xml:space="preserve"> means an individual, employer organization, association, or other entity filing a complaint. </w:t>
      </w:r>
    </w:p>
    <w:p w:rsidR="004A0864" w:rsidRPr="00615705" w:rsidRDefault="004A0864" w:rsidP="004A0864">
      <w:pPr>
        <w:pStyle w:val="BodyText"/>
        <w:spacing w:after="0"/>
        <w:rPr>
          <w:rFonts w:ascii="Arial" w:hAnsi="Arial"/>
          <w:sz w:val="22"/>
          <w:szCs w:val="22"/>
        </w:rPr>
      </w:pPr>
    </w:p>
    <w:p w:rsidR="004A0864" w:rsidRPr="00615705" w:rsidRDefault="004A0864" w:rsidP="004A0864">
      <w:pPr>
        <w:pStyle w:val="BodyText"/>
        <w:spacing w:after="0"/>
        <w:rPr>
          <w:rFonts w:ascii="Arial" w:hAnsi="Arial"/>
          <w:sz w:val="22"/>
          <w:szCs w:val="22"/>
        </w:rPr>
      </w:pPr>
      <w:r w:rsidRPr="00615705">
        <w:rPr>
          <w:rFonts w:ascii="Arial" w:hAnsi="Arial"/>
          <w:b/>
          <w:sz w:val="22"/>
          <w:szCs w:val="22"/>
        </w:rPr>
        <w:t>Respondent</w:t>
      </w:r>
      <w:r w:rsidRPr="00615705">
        <w:rPr>
          <w:rFonts w:ascii="Arial" w:hAnsi="Arial"/>
          <w:sz w:val="22"/>
          <w:szCs w:val="22"/>
        </w:rPr>
        <w:t xml:space="preserve"> means the employer or state agency (including a state agency official) that is alleged to have committed the violation described in the complaint.</w:t>
      </w:r>
    </w:p>
    <w:p w:rsidR="004A0864" w:rsidRPr="00615705" w:rsidRDefault="004A0864" w:rsidP="004A0864">
      <w:pPr>
        <w:pStyle w:val="BodyText"/>
        <w:spacing w:after="0"/>
        <w:rPr>
          <w:rFonts w:ascii="Arial" w:hAnsi="Arial"/>
          <w:sz w:val="22"/>
          <w:szCs w:val="22"/>
        </w:rPr>
      </w:pPr>
    </w:p>
    <w:p w:rsidR="004A0864" w:rsidRPr="00615705" w:rsidRDefault="004A0864" w:rsidP="004A0864">
      <w:pPr>
        <w:pStyle w:val="BodyText"/>
        <w:spacing w:after="0"/>
        <w:rPr>
          <w:rFonts w:ascii="Arial" w:hAnsi="Arial"/>
          <w:sz w:val="22"/>
          <w:szCs w:val="22"/>
        </w:rPr>
      </w:pPr>
      <w:r w:rsidRPr="00615705">
        <w:rPr>
          <w:rFonts w:ascii="Arial" w:hAnsi="Arial"/>
          <w:b/>
          <w:sz w:val="22"/>
          <w:szCs w:val="22"/>
        </w:rPr>
        <w:t>MSFW</w:t>
      </w:r>
      <w:r w:rsidRPr="00615705">
        <w:rPr>
          <w:rFonts w:ascii="Arial" w:hAnsi="Arial"/>
          <w:sz w:val="22"/>
          <w:szCs w:val="22"/>
        </w:rPr>
        <w:t xml:space="preserve"> means a migrant farmworker, seasonal farmworker or migrant food processing worker.</w:t>
      </w:r>
    </w:p>
    <w:p w:rsidR="004A0864" w:rsidRPr="00615705" w:rsidRDefault="004A0864" w:rsidP="004A0864">
      <w:pPr>
        <w:pStyle w:val="BodyText"/>
        <w:spacing w:after="0"/>
        <w:rPr>
          <w:rFonts w:ascii="Arial" w:hAnsi="Arial"/>
          <w:sz w:val="22"/>
          <w:szCs w:val="22"/>
        </w:rPr>
      </w:pPr>
    </w:p>
    <w:p w:rsidR="004A0864" w:rsidRPr="00615705" w:rsidRDefault="004A0864" w:rsidP="004A0864">
      <w:pPr>
        <w:pStyle w:val="BodyText"/>
        <w:spacing w:after="0"/>
        <w:rPr>
          <w:rFonts w:ascii="Arial" w:hAnsi="Arial"/>
          <w:sz w:val="22"/>
          <w:szCs w:val="22"/>
        </w:rPr>
      </w:pPr>
      <w:r w:rsidRPr="00615705">
        <w:rPr>
          <w:rFonts w:ascii="Arial" w:hAnsi="Arial"/>
          <w:b/>
          <w:sz w:val="22"/>
          <w:szCs w:val="22"/>
        </w:rPr>
        <w:t>H-2A Program</w:t>
      </w:r>
      <w:r w:rsidRPr="00615705">
        <w:rPr>
          <w:rFonts w:ascii="Arial" w:hAnsi="Arial"/>
          <w:sz w:val="22"/>
          <w:szCs w:val="22"/>
        </w:rPr>
        <w:t xml:space="preserve"> means the Federal program that allows agricultural employers who anticipate a labor shortage to apply for permission to hire foreign workers temporarily.  </w:t>
      </w:r>
    </w:p>
    <w:p w:rsidR="00680BC5" w:rsidRPr="00615705" w:rsidRDefault="00680BC5" w:rsidP="00680BC5">
      <w:pPr>
        <w:autoSpaceDE w:val="0"/>
        <w:autoSpaceDN w:val="0"/>
        <w:adjustRightInd w:val="0"/>
        <w:rPr>
          <w:rFonts w:ascii="Arial" w:hAnsi="Arial" w:cs="Arial"/>
          <w:bCs/>
          <w:sz w:val="22"/>
          <w:szCs w:val="22"/>
          <w:u w:val="single"/>
        </w:rPr>
      </w:pPr>
    </w:p>
    <w:p w:rsidR="00615705" w:rsidRPr="00615705" w:rsidRDefault="00615705" w:rsidP="00615705">
      <w:pPr>
        <w:spacing w:after="60"/>
        <w:rPr>
          <w:rFonts w:ascii="Arial" w:hAnsi="Arial"/>
          <w:sz w:val="22"/>
          <w:szCs w:val="22"/>
        </w:rPr>
      </w:pPr>
      <w:r w:rsidRPr="00615705">
        <w:rPr>
          <w:rFonts w:ascii="Arial" w:hAnsi="Arial"/>
          <w:b/>
          <w:sz w:val="22"/>
          <w:szCs w:val="22"/>
        </w:rPr>
        <w:t xml:space="preserve">Employment Services Related Complaint </w:t>
      </w:r>
      <w:r w:rsidRPr="00615705">
        <w:rPr>
          <w:rFonts w:ascii="Arial" w:hAnsi="Arial"/>
          <w:sz w:val="22"/>
          <w:szCs w:val="22"/>
        </w:rPr>
        <w:t>is either:</w:t>
      </w:r>
    </w:p>
    <w:p w:rsidR="00615705" w:rsidRPr="00615705" w:rsidRDefault="00615705" w:rsidP="00615705">
      <w:pPr>
        <w:numPr>
          <w:ilvl w:val="2"/>
          <w:numId w:val="11"/>
        </w:numPr>
        <w:tabs>
          <w:tab w:val="clear" w:pos="1800"/>
          <w:tab w:val="num" w:pos="900"/>
        </w:tabs>
        <w:ind w:left="900" w:hanging="360"/>
        <w:rPr>
          <w:rFonts w:ascii="Arial" w:hAnsi="Arial"/>
          <w:sz w:val="22"/>
          <w:szCs w:val="22"/>
        </w:rPr>
      </w:pPr>
      <w:r w:rsidRPr="00615705">
        <w:rPr>
          <w:rFonts w:ascii="Arial" w:hAnsi="Arial"/>
          <w:sz w:val="22"/>
          <w:szCs w:val="22"/>
        </w:rPr>
        <w:t xml:space="preserve">An </w:t>
      </w:r>
      <w:r w:rsidRPr="00615705">
        <w:rPr>
          <w:rFonts w:ascii="Arial" w:hAnsi="Arial"/>
          <w:b/>
          <w:sz w:val="22"/>
          <w:szCs w:val="22"/>
        </w:rPr>
        <w:t>agency related complaint</w:t>
      </w:r>
      <w:r w:rsidRPr="00615705">
        <w:rPr>
          <w:rFonts w:ascii="Arial" w:hAnsi="Arial"/>
          <w:sz w:val="22"/>
          <w:szCs w:val="22"/>
        </w:rPr>
        <w:t>, where a complainant alleges that the Employment Security Department or WorkSource office personnel, through actions or omissions, violated employment services regulations; or</w:t>
      </w:r>
    </w:p>
    <w:p w:rsidR="00615705" w:rsidRPr="00615705" w:rsidRDefault="00615705" w:rsidP="00615705">
      <w:pPr>
        <w:numPr>
          <w:ilvl w:val="2"/>
          <w:numId w:val="11"/>
        </w:numPr>
        <w:tabs>
          <w:tab w:val="clear" w:pos="1800"/>
          <w:tab w:val="num" w:pos="900"/>
        </w:tabs>
        <w:ind w:left="900" w:hanging="360"/>
        <w:rPr>
          <w:rFonts w:ascii="Arial" w:hAnsi="Arial"/>
          <w:sz w:val="22"/>
          <w:szCs w:val="22"/>
        </w:rPr>
      </w:pPr>
      <w:r w:rsidRPr="00615705">
        <w:rPr>
          <w:rFonts w:ascii="Arial" w:hAnsi="Arial"/>
          <w:sz w:val="22"/>
          <w:szCs w:val="22"/>
        </w:rPr>
        <w:t xml:space="preserve">An </w:t>
      </w:r>
      <w:r w:rsidRPr="00615705">
        <w:rPr>
          <w:rFonts w:ascii="Arial" w:hAnsi="Arial"/>
          <w:b/>
          <w:sz w:val="22"/>
          <w:szCs w:val="22"/>
        </w:rPr>
        <w:t>employer related complaint</w:t>
      </w:r>
      <w:r w:rsidRPr="00615705">
        <w:rPr>
          <w:rFonts w:ascii="Arial" w:hAnsi="Arial"/>
          <w:sz w:val="22"/>
          <w:szCs w:val="22"/>
        </w:rPr>
        <w:t>, where a complainant, referred by the WorkSource office on a specific job order in the past 12 months, either:</w:t>
      </w:r>
    </w:p>
    <w:p w:rsidR="00615705" w:rsidRPr="00615705" w:rsidRDefault="00615705" w:rsidP="00615705">
      <w:pPr>
        <w:numPr>
          <w:ilvl w:val="3"/>
          <w:numId w:val="12"/>
        </w:numPr>
        <w:tabs>
          <w:tab w:val="clear" w:pos="2520"/>
          <w:tab w:val="num" w:pos="1440"/>
        </w:tabs>
        <w:spacing w:before="120"/>
        <w:ind w:left="1440" w:hanging="450"/>
        <w:rPr>
          <w:rFonts w:ascii="Arial" w:hAnsi="Arial"/>
          <w:sz w:val="22"/>
          <w:szCs w:val="22"/>
        </w:rPr>
      </w:pPr>
      <w:r w:rsidRPr="00615705">
        <w:rPr>
          <w:rFonts w:ascii="Arial" w:hAnsi="Arial"/>
          <w:sz w:val="22"/>
          <w:szCs w:val="22"/>
        </w:rPr>
        <w:lastRenderedPageBreak/>
        <w:t>Alleges that the employer violated the terms and conditions of the job order; or</w:t>
      </w:r>
    </w:p>
    <w:p w:rsidR="00615705" w:rsidRPr="00615705" w:rsidRDefault="00615705" w:rsidP="00615705">
      <w:pPr>
        <w:numPr>
          <w:ilvl w:val="3"/>
          <w:numId w:val="12"/>
        </w:numPr>
        <w:tabs>
          <w:tab w:val="clear" w:pos="2520"/>
          <w:tab w:val="num" w:pos="1440"/>
        </w:tabs>
        <w:spacing w:before="120"/>
        <w:ind w:left="1440" w:hanging="450"/>
        <w:rPr>
          <w:rFonts w:ascii="Arial" w:hAnsi="Arial"/>
          <w:sz w:val="22"/>
          <w:szCs w:val="22"/>
        </w:rPr>
      </w:pPr>
      <w:r w:rsidRPr="00615705">
        <w:rPr>
          <w:rFonts w:ascii="Arial" w:hAnsi="Arial"/>
          <w:sz w:val="22"/>
          <w:szCs w:val="22"/>
        </w:rPr>
        <w:t>Alleges that the employer violated an employment related law such as wages, working conditions, child labor laws, sanitation, or housing standards, etc., which are enforced by the Federal Employment Standards Administration (ESA), Occupational Safety and Health Standards Administration (OSHA), the Washington State Department of Labor and Industries (L&amp;I), or the Department of Health (DOH).</w:t>
      </w:r>
    </w:p>
    <w:p w:rsidR="00615705" w:rsidRPr="00615705" w:rsidRDefault="00615705" w:rsidP="00615705">
      <w:pPr>
        <w:spacing w:before="120"/>
        <w:ind w:left="630"/>
        <w:rPr>
          <w:rFonts w:ascii="Arial" w:hAnsi="Arial"/>
          <w:sz w:val="22"/>
          <w:szCs w:val="22"/>
        </w:rPr>
      </w:pPr>
    </w:p>
    <w:p w:rsidR="00615705" w:rsidRPr="00615705" w:rsidRDefault="00615705" w:rsidP="00615705">
      <w:pPr>
        <w:pStyle w:val="ListParagraph"/>
        <w:numPr>
          <w:ilvl w:val="0"/>
          <w:numId w:val="13"/>
        </w:numPr>
        <w:rPr>
          <w:rFonts w:ascii="Arial" w:hAnsi="Arial"/>
          <w:b/>
          <w:vanish/>
          <w:sz w:val="22"/>
          <w:szCs w:val="22"/>
        </w:rPr>
      </w:pPr>
    </w:p>
    <w:p w:rsidR="00615705" w:rsidRPr="00615705" w:rsidRDefault="00615705" w:rsidP="00615705">
      <w:pPr>
        <w:pStyle w:val="ListParagraph"/>
        <w:numPr>
          <w:ilvl w:val="0"/>
          <w:numId w:val="13"/>
        </w:numPr>
        <w:rPr>
          <w:rFonts w:ascii="Arial" w:hAnsi="Arial"/>
          <w:b/>
          <w:vanish/>
          <w:sz w:val="22"/>
          <w:szCs w:val="22"/>
        </w:rPr>
      </w:pPr>
    </w:p>
    <w:p w:rsidR="00615705" w:rsidRPr="00615705" w:rsidRDefault="00615705" w:rsidP="00615705">
      <w:pPr>
        <w:pStyle w:val="ListParagraph"/>
        <w:numPr>
          <w:ilvl w:val="0"/>
          <w:numId w:val="13"/>
        </w:numPr>
        <w:rPr>
          <w:rFonts w:ascii="Arial" w:hAnsi="Arial"/>
          <w:b/>
          <w:vanish/>
          <w:sz w:val="22"/>
          <w:szCs w:val="22"/>
        </w:rPr>
      </w:pPr>
    </w:p>
    <w:p w:rsidR="00615705" w:rsidRPr="00615705" w:rsidRDefault="00615705" w:rsidP="00615705">
      <w:pPr>
        <w:pStyle w:val="ListParagraph"/>
        <w:numPr>
          <w:ilvl w:val="0"/>
          <w:numId w:val="13"/>
        </w:numPr>
        <w:rPr>
          <w:rFonts w:ascii="Arial" w:hAnsi="Arial"/>
          <w:b/>
          <w:vanish/>
          <w:sz w:val="22"/>
          <w:szCs w:val="22"/>
        </w:rPr>
      </w:pPr>
    </w:p>
    <w:p w:rsidR="00615705" w:rsidRPr="00615705" w:rsidRDefault="00615705" w:rsidP="00615705">
      <w:pPr>
        <w:pStyle w:val="ListParagraph"/>
        <w:numPr>
          <w:ilvl w:val="0"/>
          <w:numId w:val="13"/>
        </w:numPr>
        <w:rPr>
          <w:rFonts w:ascii="Arial" w:hAnsi="Arial"/>
          <w:b/>
          <w:vanish/>
          <w:sz w:val="22"/>
          <w:szCs w:val="22"/>
        </w:rPr>
      </w:pPr>
    </w:p>
    <w:p w:rsidR="00615705" w:rsidRPr="00615705" w:rsidRDefault="00615705" w:rsidP="00615705">
      <w:pPr>
        <w:pStyle w:val="ListParagraph"/>
        <w:numPr>
          <w:ilvl w:val="0"/>
          <w:numId w:val="13"/>
        </w:numPr>
        <w:rPr>
          <w:rFonts w:ascii="Arial" w:hAnsi="Arial"/>
          <w:b/>
          <w:vanish/>
          <w:sz w:val="22"/>
          <w:szCs w:val="22"/>
        </w:rPr>
      </w:pPr>
    </w:p>
    <w:p w:rsidR="00615705" w:rsidRPr="00615705" w:rsidRDefault="00615705" w:rsidP="00615705">
      <w:pPr>
        <w:pStyle w:val="ListParagraph"/>
        <w:numPr>
          <w:ilvl w:val="0"/>
          <w:numId w:val="13"/>
        </w:numPr>
        <w:rPr>
          <w:rFonts w:ascii="Arial" w:hAnsi="Arial"/>
          <w:b/>
          <w:vanish/>
          <w:sz w:val="22"/>
          <w:szCs w:val="22"/>
        </w:rPr>
      </w:pPr>
    </w:p>
    <w:p w:rsidR="00615705" w:rsidRPr="00615705" w:rsidRDefault="00615705" w:rsidP="00615705">
      <w:pPr>
        <w:pStyle w:val="ListParagraph"/>
        <w:numPr>
          <w:ilvl w:val="0"/>
          <w:numId w:val="13"/>
        </w:numPr>
        <w:rPr>
          <w:rFonts w:ascii="Arial" w:hAnsi="Arial"/>
          <w:b/>
          <w:vanish/>
          <w:sz w:val="22"/>
          <w:szCs w:val="22"/>
        </w:rPr>
      </w:pPr>
    </w:p>
    <w:p w:rsidR="00615705" w:rsidRPr="00615705" w:rsidRDefault="00615705" w:rsidP="00615705">
      <w:pPr>
        <w:rPr>
          <w:rFonts w:ascii="Arial" w:hAnsi="Arial"/>
          <w:sz w:val="22"/>
          <w:szCs w:val="22"/>
        </w:rPr>
      </w:pPr>
      <w:r w:rsidRPr="00615705">
        <w:rPr>
          <w:rFonts w:ascii="Arial" w:hAnsi="Arial"/>
          <w:b/>
          <w:sz w:val="22"/>
          <w:szCs w:val="22"/>
        </w:rPr>
        <w:t>Non-Employment Service Related Complaint</w:t>
      </w:r>
      <w:r w:rsidRPr="00615705">
        <w:rPr>
          <w:rFonts w:ascii="Arial" w:hAnsi="Arial"/>
          <w:sz w:val="22"/>
          <w:szCs w:val="22"/>
        </w:rPr>
        <w:t xml:space="preserve"> is a representation made or referred to ESD or local WorkSource official that an employer or an agency violated Federal or State employment related laws other than Wagner-Peyser laws. This only occurs if the complainant was not referred to the employer on a job order.</w:t>
      </w:r>
    </w:p>
    <w:p w:rsidR="00680BC5" w:rsidRPr="000D1D42" w:rsidRDefault="00680BC5" w:rsidP="00680BC5">
      <w:pPr>
        <w:autoSpaceDE w:val="0"/>
        <w:autoSpaceDN w:val="0"/>
        <w:adjustRightInd w:val="0"/>
        <w:rPr>
          <w:rFonts w:ascii="Arial" w:hAnsi="Arial" w:cs="Arial"/>
          <w:b/>
          <w:bCs/>
          <w:sz w:val="22"/>
          <w:szCs w:val="22"/>
        </w:rPr>
      </w:pPr>
    </w:p>
    <w:p w:rsidR="00615705" w:rsidRDefault="00680BC5" w:rsidP="00057FC2">
      <w:pPr>
        <w:autoSpaceDE w:val="0"/>
        <w:autoSpaceDN w:val="0"/>
        <w:adjustRightInd w:val="0"/>
        <w:spacing w:after="120"/>
        <w:rPr>
          <w:rFonts w:ascii="Arial" w:hAnsi="Arial" w:cs="Arial"/>
          <w:b/>
          <w:bCs/>
          <w:sz w:val="22"/>
          <w:szCs w:val="22"/>
        </w:rPr>
      </w:pPr>
      <w:r w:rsidRPr="000D1D42">
        <w:rPr>
          <w:rFonts w:ascii="Arial" w:hAnsi="Arial" w:cs="Arial"/>
          <w:b/>
          <w:bCs/>
          <w:sz w:val="22"/>
          <w:szCs w:val="22"/>
        </w:rPr>
        <w:t>POLICY</w:t>
      </w:r>
      <w:r w:rsidR="00D4261F" w:rsidRPr="000D1D42">
        <w:rPr>
          <w:rFonts w:ascii="Arial" w:hAnsi="Arial" w:cs="Arial"/>
          <w:b/>
          <w:bCs/>
          <w:sz w:val="22"/>
          <w:szCs w:val="22"/>
        </w:rPr>
        <w:t xml:space="preserve"> </w:t>
      </w:r>
    </w:p>
    <w:p w:rsidR="00615705" w:rsidRPr="00610876" w:rsidRDefault="00615705" w:rsidP="00615705">
      <w:pPr>
        <w:pStyle w:val="BodyText"/>
        <w:spacing w:after="0"/>
        <w:rPr>
          <w:rFonts w:ascii="Arial" w:hAnsi="Arial"/>
          <w:sz w:val="22"/>
          <w:szCs w:val="22"/>
        </w:rPr>
      </w:pPr>
      <w:r w:rsidRPr="00610876">
        <w:rPr>
          <w:rFonts w:ascii="Arial" w:hAnsi="Arial"/>
          <w:sz w:val="22"/>
          <w:szCs w:val="22"/>
        </w:rPr>
        <w:t>It is the policy of the Employment Security Department (ESD) to process all alleged MSFW complaints and apparent violations of employment related laws and regulations related to the provision of services to MSFWs including the H-2A program.  This policy ensures that centralized control procedures are established for the handling of all MSFW complaints.</w:t>
      </w:r>
    </w:p>
    <w:p w:rsidR="00680BC5" w:rsidRPr="000D1D42" w:rsidRDefault="00680BC5" w:rsidP="00680BC5">
      <w:pPr>
        <w:rPr>
          <w:rFonts w:ascii="Arial" w:hAnsi="Arial" w:cs="Arial"/>
          <w:b/>
          <w:bCs/>
          <w:sz w:val="22"/>
          <w:szCs w:val="22"/>
        </w:rPr>
      </w:pPr>
    </w:p>
    <w:p w:rsidR="00D4261F" w:rsidRPr="000D1D42" w:rsidRDefault="00D4261F" w:rsidP="00680BC5">
      <w:pPr>
        <w:rPr>
          <w:rFonts w:ascii="Arial" w:hAnsi="Arial" w:cs="Arial"/>
          <w:b/>
          <w:bCs/>
          <w:sz w:val="22"/>
          <w:szCs w:val="22"/>
        </w:rPr>
      </w:pPr>
    </w:p>
    <w:p w:rsidR="00680BC5" w:rsidRPr="000D1D42" w:rsidRDefault="00680BC5" w:rsidP="00057FC2">
      <w:pPr>
        <w:spacing w:after="120"/>
        <w:rPr>
          <w:rFonts w:ascii="Arial" w:hAnsi="Arial" w:cs="Arial"/>
          <w:b/>
          <w:bCs/>
          <w:sz w:val="22"/>
          <w:szCs w:val="22"/>
        </w:rPr>
      </w:pPr>
      <w:r w:rsidRPr="000D1D42">
        <w:rPr>
          <w:rFonts w:ascii="Arial" w:hAnsi="Arial" w:cs="Arial"/>
          <w:b/>
          <w:bCs/>
          <w:sz w:val="22"/>
          <w:szCs w:val="22"/>
        </w:rPr>
        <w:t>SUPERSEDES</w:t>
      </w:r>
    </w:p>
    <w:p w:rsidR="00615705" w:rsidRPr="00610876" w:rsidRDefault="00615705" w:rsidP="00615705">
      <w:pPr>
        <w:rPr>
          <w:rFonts w:ascii="Arial" w:hAnsi="Arial" w:cs="Arial"/>
          <w:bCs/>
          <w:sz w:val="22"/>
          <w:szCs w:val="22"/>
        </w:rPr>
      </w:pPr>
      <w:proofErr w:type="gramStart"/>
      <w:r w:rsidRPr="00610876">
        <w:rPr>
          <w:rFonts w:ascii="Arial" w:hAnsi="Arial" w:cs="Arial"/>
          <w:bCs/>
          <w:sz w:val="22"/>
          <w:szCs w:val="22"/>
        </w:rPr>
        <w:t>None.</w:t>
      </w:r>
      <w:proofErr w:type="gramEnd"/>
      <w:r w:rsidRPr="00610876">
        <w:rPr>
          <w:rFonts w:ascii="Arial" w:hAnsi="Arial" w:cs="Arial"/>
          <w:bCs/>
          <w:sz w:val="22"/>
          <w:szCs w:val="22"/>
        </w:rPr>
        <w:t xml:space="preserve">  This communications is new.</w:t>
      </w:r>
    </w:p>
    <w:p w:rsidR="00615705" w:rsidRPr="000D1D42" w:rsidRDefault="00615705" w:rsidP="00680BC5">
      <w:pPr>
        <w:rPr>
          <w:rFonts w:ascii="Arial" w:hAnsi="Arial" w:cs="Arial"/>
          <w:b/>
          <w:bCs/>
          <w:sz w:val="22"/>
          <w:szCs w:val="22"/>
        </w:rPr>
      </w:pPr>
    </w:p>
    <w:p w:rsidR="00680BC5" w:rsidRPr="000D1D42" w:rsidRDefault="00680BC5" w:rsidP="00057FC2">
      <w:pPr>
        <w:spacing w:after="120"/>
        <w:rPr>
          <w:rFonts w:ascii="Arial" w:hAnsi="Arial" w:cs="Arial"/>
          <w:b/>
          <w:bCs/>
          <w:sz w:val="22"/>
          <w:szCs w:val="22"/>
        </w:rPr>
      </w:pPr>
      <w:r w:rsidRPr="000D1D42">
        <w:rPr>
          <w:rFonts w:ascii="Arial" w:hAnsi="Arial" w:cs="Arial"/>
          <w:b/>
          <w:bCs/>
          <w:sz w:val="22"/>
          <w:szCs w:val="22"/>
        </w:rPr>
        <w:t>CONTACT</w:t>
      </w:r>
    </w:p>
    <w:p w:rsidR="00615705" w:rsidRPr="00610876" w:rsidRDefault="00615705" w:rsidP="00615705">
      <w:pPr>
        <w:rPr>
          <w:rFonts w:ascii="Arial" w:hAnsi="Arial" w:cs="Arial"/>
          <w:sz w:val="22"/>
          <w:szCs w:val="22"/>
        </w:rPr>
      </w:pPr>
      <w:r w:rsidRPr="00610876">
        <w:rPr>
          <w:rFonts w:ascii="Arial" w:hAnsi="Arial" w:cs="Arial"/>
          <w:sz w:val="22"/>
          <w:szCs w:val="22"/>
        </w:rPr>
        <w:t>Oscar Trevino, Agricultural Program Coordinator</w:t>
      </w:r>
    </w:p>
    <w:p w:rsidR="00680BC5" w:rsidRPr="00615705" w:rsidRDefault="00615705" w:rsidP="00680BC5">
      <w:pPr>
        <w:rPr>
          <w:rFonts w:ascii="Arial" w:hAnsi="Arial" w:cs="Arial"/>
          <w:sz w:val="22"/>
          <w:szCs w:val="22"/>
        </w:rPr>
      </w:pPr>
      <w:r w:rsidRPr="00610876">
        <w:rPr>
          <w:rFonts w:ascii="Arial" w:hAnsi="Arial" w:cs="Arial"/>
          <w:sz w:val="22"/>
          <w:szCs w:val="22"/>
        </w:rPr>
        <w:t>Employment Security Department</w:t>
      </w:r>
      <w:r w:rsidRPr="00610876">
        <w:rPr>
          <w:rFonts w:ascii="Arial" w:hAnsi="Arial" w:cs="Arial"/>
          <w:sz w:val="22"/>
          <w:szCs w:val="22"/>
        </w:rPr>
        <w:br/>
        <w:t>Employment and Career Development Division</w:t>
      </w:r>
      <w:r w:rsidRPr="00610876">
        <w:rPr>
          <w:rFonts w:ascii="Arial" w:hAnsi="Arial" w:cs="Arial"/>
          <w:sz w:val="22"/>
          <w:szCs w:val="22"/>
        </w:rPr>
        <w:br/>
        <w:t>P.O. Box 9046, Mail Stop 6000</w:t>
      </w:r>
      <w:r w:rsidRPr="00610876">
        <w:rPr>
          <w:rFonts w:ascii="Arial" w:hAnsi="Arial" w:cs="Arial"/>
          <w:sz w:val="22"/>
          <w:szCs w:val="22"/>
        </w:rPr>
        <w:br/>
        <w:t>Olympia , WA 98507-9046</w:t>
      </w:r>
      <w:r w:rsidRPr="00610876">
        <w:rPr>
          <w:rFonts w:ascii="Arial" w:hAnsi="Arial" w:cs="Arial"/>
          <w:sz w:val="22"/>
          <w:szCs w:val="22"/>
        </w:rPr>
        <w:br/>
        <w:t xml:space="preserve">E-Mail: </w:t>
      </w:r>
      <w:bookmarkStart w:id="0" w:name="otrevino@esd.wa.gov"/>
      <w:r w:rsidR="009217FE" w:rsidRPr="00610876">
        <w:rPr>
          <w:rFonts w:ascii="Arial" w:hAnsi="Arial" w:cs="Arial"/>
          <w:sz w:val="22"/>
          <w:szCs w:val="22"/>
        </w:rPr>
        <w:fldChar w:fldCharType="begin"/>
      </w:r>
      <w:r w:rsidRPr="00610876">
        <w:rPr>
          <w:rFonts w:ascii="Arial" w:hAnsi="Arial" w:cs="Arial"/>
          <w:sz w:val="22"/>
          <w:szCs w:val="22"/>
        </w:rPr>
        <w:instrText xml:space="preserve"> HYPERLINK "mailto:otrevino@esd.wa.gov" </w:instrText>
      </w:r>
      <w:r w:rsidR="009217FE" w:rsidRPr="00610876">
        <w:rPr>
          <w:rFonts w:ascii="Arial" w:hAnsi="Arial" w:cs="Arial"/>
          <w:sz w:val="22"/>
          <w:szCs w:val="22"/>
        </w:rPr>
        <w:fldChar w:fldCharType="separate"/>
      </w:r>
      <w:r w:rsidRPr="00610876">
        <w:rPr>
          <w:rFonts w:ascii="Arial" w:hAnsi="Arial" w:cs="Arial"/>
          <w:color w:val="0000FF"/>
          <w:sz w:val="22"/>
          <w:szCs w:val="22"/>
          <w:u w:val="single"/>
        </w:rPr>
        <w:t>otrevino@esd.wa.gov</w:t>
      </w:r>
      <w:r w:rsidR="009217FE" w:rsidRPr="00610876">
        <w:rPr>
          <w:rFonts w:ascii="Arial" w:hAnsi="Arial" w:cs="Arial"/>
          <w:sz w:val="22"/>
          <w:szCs w:val="22"/>
        </w:rPr>
        <w:fldChar w:fldCharType="end"/>
      </w:r>
      <w:bookmarkEnd w:id="0"/>
      <w:r w:rsidRPr="00610876">
        <w:rPr>
          <w:rFonts w:ascii="Arial" w:hAnsi="Arial" w:cs="Arial"/>
          <w:sz w:val="22"/>
          <w:szCs w:val="22"/>
        </w:rPr>
        <w:t> </w:t>
      </w:r>
    </w:p>
    <w:sectPr w:rsidR="00680BC5" w:rsidRPr="00615705" w:rsidSect="00680BC5">
      <w:headerReference w:type="even" r:id="rId11"/>
      <w:headerReference w:type="default" r:id="rId12"/>
      <w:headerReference w:type="first" r:id="rId13"/>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864" w:rsidRDefault="004A0864">
      <w:r>
        <w:separator/>
      </w:r>
    </w:p>
  </w:endnote>
  <w:endnote w:type="continuationSeparator" w:id="0">
    <w:p w:rsidR="004A0864" w:rsidRDefault="004A0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864" w:rsidRDefault="004A0864">
      <w:r>
        <w:separator/>
      </w:r>
    </w:p>
  </w:footnote>
  <w:footnote w:type="continuationSeparator" w:id="0">
    <w:p w:rsidR="004A0864" w:rsidRDefault="004A0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64" w:rsidRDefault="009217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916266" o:spid="_x0000_s1033" type="#_x0000_t136" style="position:absolute;margin-left:0;margin-top:0;width:479.65pt;height:159.85pt;rotation:315;z-index:-251657728;mso-position-horizontal:center;mso-position-horizontal-relative:margin;mso-position-vertical:center;mso-position-vertical-relative:margin" o:allowincell="f" fillcolor="silver" stroked="f">
          <v:fill opacity=".5"/>
          <v:textpath style="font-family:&quot;Times New Roman&quot;;font-size:1pt" string="POLICY"/>
          <w10:wrap anchorx="margin" anchory="margin"/>
        </v:shape>
      </w:pict>
    </w:r>
    <w:r>
      <w:rPr>
        <w:noProof/>
      </w:rPr>
      <w:pict>
        <v:shape id="PowerPlusWaterMarkObject2" o:spid="_x0000_s1026" type="#_x0000_t136" style="position:absolute;margin-left:0;margin-top:0;width:464.4pt;height:154.8pt;rotation:315;z-index:-251660800;mso-wrap-edited:f;mso-position-horizontal:center;mso-position-horizontal-relative:margin;mso-position-vertical:center;mso-position-vertical-relative:margin" wrapcoords="21285 4194 17796 4194 17761 4403 17726 5347 17273 4299 16749 3669 16540 4194 13957 4194 13992 4613 14586 7759 14551 12267 11620 4194 11445 3774 10294 11429 7886 5137 7293 3774 7083 4194 4815 4194 4815 4403 5408 8493 3454 4823 2407 4089 697 4194 34 4403 628 8388 628 15518 34 16776 244 17405 2791 17300 3349 16671 3838 15833 5129 17615 6734 17510 6804 17300 6525 15413 6176 13316 6595 14469 8235 17720 8409 17510 10608 17300 10642 17196 10363 14050 12248 17615 15912 17300 15947 17091 15318 14679 15318 12267 15702 11009 16610 12792 16749 12792 16784 12058 18424 16776 19087 18139 19436 17405 20553 17300 20553 17091 19959 14365 19959 7234 20064 5242 20936 6920 21390 7549 21495 7130 21425 4613 21285 4194" fillcolor="black" stroked="f">
          <v:fill opacity=".2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12" w:space="0" w:color="999999"/>
        <w:bottom w:val="single" w:sz="12" w:space="0" w:color="999999"/>
      </w:tblBorders>
      <w:tblLayout w:type="fixed"/>
      <w:tblLook w:val="01E0"/>
    </w:tblPr>
    <w:tblGrid>
      <w:gridCol w:w="3060"/>
      <w:gridCol w:w="1620"/>
      <w:gridCol w:w="4680"/>
    </w:tblGrid>
    <w:tr w:rsidR="004A0864" w:rsidRPr="00143A1B" w:rsidTr="00057FC2">
      <w:trPr>
        <w:trHeight w:hRule="exact" w:val="144"/>
        <w:jc w:val="center"/>
      </w:trPr>
      <w:tc>
        <w:tcPr>
          <w:tcW w:w="3060" w:type="dxa"/>
          <w:vMerge w:val="restart"/>
          <w:vAlign w:val="center"/>
        </w:tcPr>
        <w:p w:rsidR="004A0864" w:rsidRPr="00143A1B" w:rsidRDefault="009217FE" w:rsidP="00680BC5">
          <w:pPr>
            <w:autoSpaceDE w:val="0"/>
            <w:autoSpaceDN w:val="0"/>
            <w:adjustRightInd w:val="0"/>
            <w:jc w:val="center"/>
            <w:rPr>
              <w:rFonts w:ascii="Arial" w:hAnsi="Arial" w:cs="Arial"/>
              <w:b/>
              <w:bCs/>
            </w:rPr>
          </w:pPr>
          <w:r w:rsidRPr="009217FE">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2pt">
                <v:imagedata r:id="rId1" o:title="ESD logo-2 color-hori"/>
              </v:shape>
            </w:pict>
          </w:r>
        </w:p>
      </w:tc>
      <w:tc>
        <w:tcPr>
          <w:tcW w:w="6300" w:type="dxa"/>
          <w:gridSpan w:val="2"/>
          <w:vAlign w:val="center"/>
        </w:tcPr>
        <w:p w:rsidR="004A0864" w:rsidRPr="00143A1B" w:rsidRDefault="004A0864" w:rsidP="00680BC5">
          <w:pPr>
            <w:autoSpaceDE w:val="0"/>
            <w:autoSpaceDN w:val="0"/>
            <w:adjustRightInd w:val="0"/>
            <w:rPr>
              <w:rFonts w:ascii="Arial" w:hAnsi="Arial" w:cs="Arial"/>
              <w:b/>
              <w:bCs/>
            </w:rPr>
          </w:pPr>
        </w:p>
      </w:tc>
    </w:tr>
    <w:tr w:rsidR="004A0864" w:rsidRPr="00143A1B" w:rsidTr="00057FC2">
      <w:trPr>
        <w:jc w:val="center"/>
      </w:trPr>
      <w:tc>
        <w:tcPr>
          <w:tcW w:w="3060" w:type="dxa"/>
          <w:vMerge/>
        </w:tcPr>
        <w:p w:rsidR="004A0864" w:rsidRPr="00143A1B" w:rsidRDefault="004A0864" w:rsidP="00680BC5">
          <w:pPr>
            <w:autoSpaceDE w:val="0"/>
            <w:autoSpaceDN w:val="0"/>
            <w:adjustRightInd w:val="0"/>
            <w:jc w:val="center"/>
            <w:rPr>
              <w:sz w:val="22"/>
              <w:szCs w:val="22"/>
            </w:rPr>
          </w:pPr>
        </w:p>
      </w:tc>
      <w:tc>
        <w:tcPr>
          <w:tcW w:w="6300" w:type="dxa"/>
          <w:gridSpan w:val="2"/>
          <w:vAlign w:val="center"/>
        </w:tcPr>
        <w:p w:rsidR="004A0864" w:rsidRPr="0072244C" w:rsidRDefault="004A0864" w:rsidP="00680BC5">
          <w:pPr>
            <w:autoSpaceDE w:val="0"/>
            <w:autoSpaceDN w:val="0"/>
            <w:adjustRightInd w:val="0"/>
            <w:rPr>
              <w:rFonts w:ascii="Arial" w:hAnsi="Arial" w:cs="Arial"/>
              <w:b/>
              <w:bCs/>
              <w:sz w:val="22"/>
              <w:szCs w:val="22"/>
            </w:rPr>
          </w:pPr>
          <w:r w:rsidRPr="0072244C">
            <w:rPr>
              <w:rFonts w:ascii="Arial" w:hAnsi="Arial" w:cs="Arial"/>
              <w:b/>
              <w:bCs/>
              <w:sz w:val="22"/>
              <w:szCs w:val="22"/>
            </w:rPr>
            <w:t>Employment &amp; Career Development Division</w:t>
          </w:r>
        </w:p>
      </w:tc>
    </w:tr>
    <w:tr w:rsidR="004A0864" w:rsidRPr="00143A1B" w:rsidTr="00057FC2">
      <w:trPr>
        <w:jc w:val="center"/>
      </w:trPr>
      <w:tc>
        <w:tcPr>
          <w:tcW w:w="3060" w:type="dxa"/>
          <w:vMerge/>
        </w:tcPr>
        <w:p w:rsidR="004A0864" w:rsidRPr="00143A1B" w:rsidRDefault="004A0864" w:rsidP="00680BC5">
          <w:pPr>
            <w:autoSpaceDE w:val="0"/>
            <w:autoSpaceDN w:val="0"/>
            <w:adjustRightInd w:val="0"/>
            <w:rPr>
              <w:rFonts w:ascii="Arial" w:hAnsi="Arial" w:cs="Arial"/>
              <w:b/>
              <w:bCs/>
            </w:rPr>
          </w:pPr>
        </w:p>
      </w:tc>
      <w:tc>
        <w:tcPr>
          <w:tcW w:w="6300" w:type="dxa"/>
          <w:gridSpan w:val="2"/>
        </w:tcPr>
        <w:p w:rsidR="004A0864" w:rsidRPr="0072244C" w:rsidRDefault="004A0864" w:rsidP="00615705">
          <w:pPr>
            <w:autoSpaceDE w:val="0"/>
            <w:autoSpaceDN w:val="0"/>
            <w:adjustRightInd w:val="0"/>
            <w:rPr>
              <w:rFonts w:ascii="Arial" w:hAnsi="Arial" w:cs="Arial"/>
              <w:bCs/>
              <w:sz w:val="22"/>
              <w:szCs w:val="22"/>
            </w:rPr>
          </w:pPr>
          <w:r w:rsidRPr="0072244C">
            <w:rPr>
              <w:rFonts w:ascii="Arial" w:hAnsi="Arial" w:cs="Arial"/>
              <w:b/>
              <w:bCs/>
              <w:sz w:val="22"/>
              <w:szCs w:val="22"/>
            </w:rPr>
            <w:t xml:space="preserve">Code: </w:t>
          </w:r>
          <w:r w:rsidR="00615705">
            <w:rPr>
              <w:rFonts w:ascii="Arial" w:hAnsi="Arial" w:cs="Arial"/>
              <w:bCs/>
              <w:sz w:val="22"/>
              <w:szCs w:val="22"/>
            </w:rPr>
            <w:t>AG</w:t>
          </w:r>
          <w:r w:rsidRPr="0072244C">
            <w:rPr>
              <w:rFonts w:ascii="Arial" w:hAnsi="Arial" w:cs="Arial"/>
              <w:bCs/>
              <w:sz w:val="22"/>
              <w:szCs w:val="22"/>
            </w:rPr>
            <w:t>-Policy-</w:t>
          </w:r>
          <w:r w:rsidR="00615705">
            <w:rPr>
              <w:rFonts w:ascii="Arial" w:hAnsi="Arial" w:cs="Arial"/>
              <w:bCs/>
              <w:sz w:val="22"/>
              <w:szCs w:val="22"/>
            </w:rPr>
            <w:t>MSFW Complaints</w:t>
          </w:r>
          <w:r w:rsidRPr="0072244C">
            <w:rPr>
              <w:rFonts w:ascii="Arial" w:hAnsi="Arial" w:cs="Arial"/>
              <w:bCs/>
              <w:sz w:val="22"/>
              <w:szCs w:val="22"/>
            </w:rPr>
            <w:t>-</w:t>
          </w:r>
          <w:r w:rsidR="00615705">
            <w:rPr>
              <w:rFonts w:ascii="Arial" w:hAnsi="Arial" w:cs="Arial"/>
              <w:bCs/>
              <w:sz w:val="22"/>
              <w:szCs w:val="22"/>
            </w:rPr>
            <w:t>4061-0707</w:t>
          </w:r>
        </w:p>
      </w:tc>
    </w:tr>
    <w:tr w:rsidR="004A0864" w:rsidRPr="00143A1B" w:rsidTr="00057FC2">
      <w:trPr>
        <w:trHeight w:val="225"/>
        <w:jc w:val="center"/>
      </w:trPr>
      <w:tc>
        <w:tcPr>
          <w:tcW w:w="3060" w:type="dxa"/>
          <w:vMerge/>
        </w:tcPr>
        <w:p w:rsidR="004A0864" w:rsidRPr="00143A1B" w:rsidRDefault="004A0864" w:rsidP="00680BC5">
          <w:pPr>
            <w:autoSpaceDE w:val="0"/>
            <w:autoSpaceDN w:val="0"/>
            <w:adjustRightInd w:val="0"/>
            <w:rPr>
              <w:rFonts w:ascii="Arial" w:hAnsi="Arial" w:cs="Arial"/>
              <w:b/>
              <w:bCs/>
            </w:rPr>
          </w:pPr>
        </w:p>
      </w:tc>
      <w:tc>
        <w:tcPr>
          <w:tcW w:w="6300" w:type="dxa"/>
          <w:gridSpan w:val="2"/>
        </w:tcPr>
        <w:p w:rsidR="004A0864" w:rsidRPr="0072244C" w:rsidRDefault="004A0864" w:rsidP="00615705">
          <w:pPr>
            <w:autoSpaceDE w:val="0"/>
            <w:autoSpaceDN w:val="0"/>
            <w:adjustRightInd w:val="0"/>
            <w:rPr>
              <w:rFonts w:ascii="Arial" w:hAnsi="Arial" w:cs="Arial"/>
              <w:b/>
              <w:bCs/>
              <w:sz w:val="22"/>
              <w:szCs w:val="22"/>
            </w:rPr>
          </w:pPr>
          <w:r w:rsidRPr="0072244C">
            <w:rPr>
              <w:rFonts w:ascii="Arial" w:hAnsi="Arial" w:cs="Arial"/>
              <w:b/>
              <w:bCs/>
              <w:sz w:val="22"/>
              <w:szCs w:val="22"/>
            </w:rPr>
            <w:t>Page:</w:t>
          </w:r>
          <w:r w:rsidRPr="0072244C">
            <w:rPr>
              <w:rFonts w:ascii="Cambria" w:hAnsi="Cambria" w:cs="Arial"/>
              <w:b/>
              <w:bCs/>
              <w:sz w:val="22"/>
              <w:szCs w:val="22"/>
            </w:rPr>
            <w:t xml:space="preserve"> </w:t>
          </w:r>
          <w:r w:rsidR="009217FE" w:rsidRPr="0072244C">
            <w:rPr>
              <w:rStyle w:val="PageNumber"/>
              <w:rFonts w:ascii="Arial" w:hAnsi="Arial" w:cs="Arial"/>
              <w:b/>
              <w:sz w:val="22"/>
              <w:szCs w:val="22"/>
            </w:rPr>
            <w:fldChar w:fldCharType="begin"/>
          </w:r>
          <w:r w:rsidRPr="0072244C">
            <w:rPr>
              <w:rStyle w:val="PageNumber"/>
              <w:rFonts w:ascii="Arial" w:hAnsi="Arial" w:cs="Arial"/>
              <w:b/>
              <w:sz w:val="22"/>
              <w:szCs w:val="22"/>
            </w:rPr>
            <w:instrText xml:space="preserve"> PAGE </w:instrText>
          </w:r>
          <w:r w:rsidR="009217FE" w:rsidRPr="0072244C">
            <w:rPr>
              <w:rStyle w:val="PageNumber"/>
              <w:rFonts w:ascii="Arial" w:hAnsi="Arial" w:cs="Arial"/>
              <w:b/>
              <w:sz w:val="22"/>
              <w:szCs w:val="22"/>
            </w:rPr>
            <w:fldChar w:fldCharType="separate"/>
          </w:r>
          <w:r w:rsidR="00057FC2">
            <w:rPr>
              <w:rStyle w:val="PageNumber"/>
              <w:rFonts w:ascii="Arial" w:hAnsi="Arial" w:cs="Arial"/>
              <w:b/>
              <w:noProof/>
              <w:sz w:val="22"/>
              <w:szCs w:val="22"/>
            </w:rPr>
            <w:t>1</w:t>
          </w:r>
          <w:r w:rsidR="009217FE" w:rsidRPr="0072244C">
            <w:rPr>
              <w:rStyle w:val="PageNumber"/>
              <w:rFonts w:ascii="Arial" w:hAnsi="Arial" w:cs="Arial"/>
              <w:b/>
              <w:sz w:val="22"/>
              <w:szCs w:val="22"/>
            </w:rPr>
            <w:fldChar w:fldCharType="end"/>
          </w:r>
          <w:r w:rsidRPr="0072244C">
            <w:rPr>
              <w:rStyle w:val="PageNumber"/>
              <w:rFonts w:ascii="Cambria" w:hAnsi="Cambria" w:cs="Arial"/>
              <w:b/>
              <w:sz w:val="22"/>
              <w:szCs w:val="22"/>
            </w:rPr>
            <w:t xml:space="preserve"> </w:t>
          </w:r>
          <w:r w:rsidRPr="0072244C">
            <w:rPr>
              <w:rStyle w:val="PageNumber"/>
              <w:rFonts w:ascii="Arial" w:hAnsi="Arial" w:cs="Arial"/>
              <w:b/>
              <w:sz w:val="22"/>
              <w:szCs w:val="22"/>
            </w:rPr>
            <w:t>of</w:t>
          </w:r>
          <w:r w:rsidRPr="0072244C">
            <w:rPr>
              <w:rStyle w:val="PageNumber"/>
              <w:rFonts w:ascii="Cambria" w:hAnsi="Cambria" w:cs="Arial"/>
              <w:b/>
              <w:sz w:val="22"/>
              <w:szCs w:val="22"/>
            </w:rPr>
            <w:t xml:space="preserve"> </w:t>
          </w:r>
          <w:r w:rsidR="009217FE" w:rsidRPr="0072244C">
            <w:rPr>
              <w:rStyle w:val="PageNumber"/>
              <w:rFonts w:ascii="Arial" w:hAnsi="Arial" w:cs="Arial"/>
              <w:b/>
              <w:sz w:val="22"/>
              <w:szCs w:val="22"/>
            </w:rPr>
            <w:fldChar w:fldCharType="begin"/>
          </w:r>
          <w:r w:rsidRPr="0072244C">
            <w:rPr>
              <w:rStyle w:val="PageNumber"/>
              <w:rFonts w:ascii="Arial" w:hAnsi="Arial" w:cs="Arial"/>
              <w:b/>
              <w:sz w:val="22"/>
              <w:szCs w:val="22"/>
            </w:rPr>
            <w:instrText xml:space="preserve"> NUMPAGES </w:instrText>
          </w:r>
          <w:r w:rsidR="009217FE" w:rsidRPr="0072244C">
            <w:rPr>
              <w:rStyle w:val="PageNumber"/>
              <w:rFonts w:ascii="Arial" w:hAnsi="Arial" w:cs="Arial"/>
              <w:b/>
              <w:sz w:val="22"/>
              <w:szCs w:val="22"/>
            </w:rPr>
            <w:fldChar w:fldCharType="separate"/>
          </w:r>
          <w:r w:rsidR="00057FC2">
            <w:rPr>
              <w:rStyle w:val="PageNumber"/>
              <w:rFonts w:ascii="Arial" w:hAnsi="Arial" w:cs="Arial"/>
              <w:b/>
              <w:noProof/>
              <w:sz w:val="22"/>
              <w:szCs w:val="22"/>
            </w:rPr>
            <w:t>2</w:t>
          </w:r>
          <w:r w:rsidR="009217FE" w:rsidRPr="0072244C">
            <w:rPr>
              <w:rStyle w:val="PageNumber"/>
              <w:rFonts w:ascii="Arial" w:hAnsi="Arial" w:cs="Arial"/>
              <w:b/>
              <w:sz w:val="22"/>
              <w:szCs w:val="22"/>
            </w:rPr>
            <w:fldChar w:fldCharType="end"/>
          </w:r>
          <w:r w:rsidRPr="0072244C">
            <w:rPr>
              <w:rStyle w:val="PageNumber"/>
              <w:rFonts w:ascii="Arial" w:hAnsi="Arial" w:cs="Arial"/>
              <w:b/>
              <w:sz w:val="22"/>
              <w:szCs w:val="22"/>
            </w:rPr>
            <w:t xml:space="preserve"> | </w:t>
          </w:r>
          <w:r w:rsidR="00615705">
            <w:rPr>
              <w:rStyle w:val="PageNumber"/>
              <w:rFonts w:ascii="Arial" w:hAnsi="Arial" w:cs="Arial"/>
              <w:b/>
              <w:sz w:val="22"/>
              <w:szCs w:val="22"/>
            </w:rPr>
            <w:t>July 1</w:t>
          </w:r>
          <w:r>
            <w:rPr>
              <w:rStyle w:val="PageNumber"/>
              <w:rFonts w:ascii="Arial" w:hAnsi="Arial" w:cs="Arial"/>
              <w:b/>
              <w:sz w:val="22"/>
              <w:szCs w:val="22"/>
            </w:rPr>
            <w:t xml:space="preserve">, </w:t>
          </w:r>
          <w:r w:rsidR="00615705">
            <w:rPr>
              <w:rStyle w:val="PageNumber"/>
              <w:rFonts w:ascii="Arial" w:hAnsi="Arial" w:cs="Arial"/>
              <w:b/>
              <w:sz w:val="22"/>
              <w:szCs w:val="22"/>
            </w:rPr>
            <w:t>2007</w:t>
          </w:r>
        </w:p>
      </w:tc>
    </w:tr>
    <w:tr w:rsidR="004A0864" w:rsidRPr="00143A1B" w:rsidTr="00057FC2">
      <w:trPr>
        <w:trHeight w:hRule="exact" w:val="144"/>
        <w:jc w:val="center"/>
      </w:trPr>
      <w:tc>
        <w:tcPr>
          <w:tcW w:w="3060" w:type="dxa"/>
          <w:vMerge/>
        </w:tcPr>
        <w:p w:rsidR="004A0864" w:rsidRPr="00143A1B" w:rsidRDefault="004A0864" w:rsidP="00680BC5">
          <w:pPr>
            <w:autoSpaceDE w:val="0"/>
            <w:autoSpaceDN w:val="0"/>
            <w:adjustRightInd w:val="0"/>
            <w:rPr>
              <w:rFonts w:ascii="Arial" w:hAnsi="Arial" w:cs="Arial"/>
              <w:b/>
              <w:bCs/>
            </w:rPr>
          </w:pPr>
        </w:p>
      </w:tc>
      <w:tc>
        <w:tcPr>
          <w:tcW w:w="1620" w:type="dxa"/>
        </w:tcPr>
        <w:p w:rsidR="004A0864" w:rsidRPr="00143A1B" w:rsidRDefault="004A0864" w:rsidP="00680BC5">
          <w:pPr>
            <w:autoSpaceDE w:val="0"/>
            <w:autoSpaceDN w:val="0"/>
            <w:adjustRightInd w:val="0"/>
            <w:rPr>
              <w:rFonts w:ascii="Arial" w:hAnsi="Arial" w:cs="Arial"/>
              <w:b/>
              <w:bCs/>
            </w:rPr>
          </w:pPr>
        </w:p>
      </w:tc>
      <w:tc>
        <w:tcPr>
          <w:tcW w:w="4680" w:type="dxa"/>
        </w:tcPr>
        <w:p w:rsidR="004A0864" w:rsidRPr="00143A1B" w:rsidRDefault="004A0864" w:rsidP="00680BC5">
          <w:pPr>
            <w:autoSpaceDE w:val="0"/>
            <w:autoSpaceDN w:val="0"/>
            <w:adjustRightInd w:val="0"/>
            <w:rPr>
              <w:rFonts w:ascii="Arial" w:hAnsi="Arial" w:cs="Arial"/>
              <w:b/>
              <w:bCs/>
            </w:rPr>
          </w:pPr>
        </w:p>
      </w:tc>
    </w:tr>
  </w:tbl>
  <w:p w:rsidR="004A0864" w:rsidRDefault="004A08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864" w:rsidRDefault="009217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6916265" o:spid="_x0000_s1032" type="#_x0000_t136" style="position:absolute;margin-left:0;margin-top:0;width:479.65pt;height:159.85pt;rotation:315;z-index:-251658752;mso-position-horizontal:center;mso-position-horizontal-relative:margin;mso-position-vertical:center;mso-position-vertical-relative:margin" o:allowincell="f" fillcolor="silver" stroked="f">
          <v:fill opacity=".5"/>
          <v:textpath style="font-family:&quot;Times New Roman&quot;;font-size:1pt" string="POLICY"/>
          <w10:wrap anchorx="margin" anchory="margin"/>
        </v:shape>
      </w:pict>
    </w:r>
    <w:r>
      <w:rPr>
        <w:noProof/>
      </w:rPr>
      <w:pict>
        <v:shape id="PowerPlusWaterMarkObject3" o:spid="_x0000_s1027" type="#_x0000_t136" style="position:absolute;margin-left:0;margin-top:0;width:464.4pt;height:154.8pt;rotation:315;z-index:-251659776;mso-wrap-edited:f;mso-position-horizontal:center;mso-position-horizontal-relative:margin;mso-position-vertical:center;mso-position-vertical-relative:margin" wrapcoords="21285 4194 17796 4194 17761 4403 17726 5347 17273 4299 16749 3669 16540 4194 13957 4194 13992 4613 14586 7759 14551 12267 11620 4194 11445 3774 10294 11429 7886 5137 7293 3774 7083 4194 4815 4194 4815 4403 5408 8493 3454 4823 2407 4089 697 4194 34 4403 628 8388 628 15518 34 16776 244 17405 2791 17300 3349 16671 3838 15833 5129 17615 6734 17510 6804 17300 6525 15413 6176 13316 6595 14469 8235 17720 8409 17510 10608 17300 10642 17196 10363 14050 12248 17615 15912 17300 15947 17091 15318 14679 15318 12267 15702 11009 16610 12792 16749 12792 16784 12058 18424 16776 19087 18139 19436 17405 20553 17300 20553 17091 19959 14365 19959 7234 20064 5242 20936 6920 21390 7549 21495 7130 21425 4613 21285 4194" fillcolor="black" stroked="f">
          <v:fill opacity=".2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60D1"/>
    <w:multiLevelType w:val="hybridMultilevel"/>
    <w:tmpl w:val="1268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ED72D1"/>
    <w:multiLevelType w:val="multilevel"/>
    <w:tmpl w:val="FCE81538"/>
    <w:lvl w:ilvl="0">
      <w:start w:val="1"/>
      <w:numFmt w:val="decimal"/>
      <w:lvlText w:val="%1."/>
      <w:lvlJc w:val="left"/>
      <w:pPr>
        <w:tabs>
          <w:tab w:val="num" w:pos="504"/>
        </w:tabs>
        <w:ind w:left="504" w:hanging="504"/>
      </w:pPr>
      <w:rPr>
        <w:rFonts w:hint="default"/>
        <w:b w:val="0"/>
        <w:i w:val="0"/>
        <w:u w:val="none"/>
      </w:rPr>
    </w:lvl>
    <w:lvl w:ilvl="1">
      <w:start w:val="1"/>
      <w:numFmt w:val="decimal"/>
      <w:lvlText w:val="%2."/>
      <w:lvlJc w:val="left"/>
      <w:pPr>
        <w:tabs>
          <w:tab w:val="num" w:pos="1080"/>
        </w:tabs>
        <w:ind w:left="1080" w:hanging="360"/>
      </w:pPr>
      <w:rPr>
        <w:rFonts w:hint="default"/>
        <w:b w:val="0"/>
        <w:i w:val="0"/>
        <w:u w:val="none"/>
      </w:rPr>
    </w:lvl>
    <w:lvl w:ilvl="2">
      <w:start w:val="1"/>
      <w:numFmt w:val="lowerRoman"/>
      <w:lvlText w:val="%3."/>
      <w:lvlJc w:val="right"/>
      <w:pPr>
        <w:tabs>
          <w:tab w:val="num" w:pos="1800"/>
        </w:tabs>
        <w:ind w:left="1800" w:hanging="180"/>
      </w:pPr>
    </w:lvl>
    <w:lvl w:ilvl="3">
      <w:start w:val="1"/>
      <w:numFmt w:val="lowerRoman"/>
      <w:lvlText w:val="%4."/>
      <w:lvlJc w:val="righ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18FA697A"/>
    <w:multiLevelType w:val="hybridMultilevel"/>
    <w:tmpl w:val="52563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D732012"/>
    <w:multiLevelType w:val="hybridMultilevel"/>
    <w:tmpl w:val="1980BA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nsid w:val="49063C96"/>
    <w:multiLevelType w:val="hybridMultilevel"/>
    <w:tmpl w:val="F468F850"/>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5">
    <w:nsid w:val="57273496"/>
    <w:multiLevelType w:val="hybridMultilevel"/>
    <w:tmpl w:val="53787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734FE5"/>
    <w:multiLevelType w:val="hybridMultilevel"/>
    <w:tmpl w:val="B3C89E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5C626985"/>
    <w:multiLevelType w:val="hybridMultilevel"/>
    <w:tmpl w:val="BF105E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63E51E51"/>
    <w:multiLevelType w:val="multilevel"/>
    <w:tmpl w:val="9E744810"/>
    <w:lvl w:ilvl="0">
      <w:start w:val="1"/>
      <w:numFmt w:val="decimal"/>
      <w:lvlText w:val="%1."/>
      <w:lvlJc w:val="left"/>
      <w:pPr>
        <w:tabs>
          <w:tab w:val="num" w:pos="504"/>
        </w:tabs>
        <w:ind w:left="504" w:hanging="504"/>
      </w:pPr>
      <w:rPr>
        <w:rFonts w:hint="default"/>
        <w:b w:val="0"/>
        <w:i w:val="0"/>
        <w:u w:val="none"/>
      </w:rPr>
    </w:lvl>
    <w:lvl w:ilvl="1">
      <w:start w:val="1"/>
      <w:numFmt w:val="decimal"/>
      <w:lvlText w:val="%2."/>
      <w:lvlJc w:val="left"/>
      <w:pPr>
        <w:tabs>
          <w:tab w:val="num" w:pos="1080"/>
        </w:tabs>
        <w:ind w:left="1080" w:hanging="360"/>
      </w:pPr>
      <w:rPr>
        <w:rFonts w:hint="default"/>
        <w:b w:val="0"/>
        <w:i w:val="0"/>
        <w:u w:val="none"/>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73E266E3"/>
    <w:multiLevelType w:val="hybridMultilevel"/>
    <w:tmpl w:val="473AE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04798E"/>
    <w:multiLevelType w:val="multilevel"/>
    <w:tmpl w:val="39BC4E9C"/>
    <w:lvl w:ilvl="0">
      <w:start w:val="1"/>
      <w:numFmt w:val="decimal"/>
      <w:lvlText w:val="%1."/>
      <w:lvlJc w:val="left"/>
      <w:pPr>
        <w:tabs>
          <w:tab w:val="num" w:pos="504"/>
        </w:tabs>
        <w:ind w:left="504" w:hanging="504"/>
      </w:pPr>
      <w:rPr>
        <w:rFonts w:hint="default"/>
        <w:b w:val="0"/>
        <w:i w:val="0"/>
        <w:u w:val="none"/>
      </w:rPr>
    </w:lvl>
    <w:lvl w:ilvl="1">
      <w:start w:val="1"/>
      <w:numFmt w:val="decimal"/>
      <w:lvlText w:val="%2."/>
      <w:lvlJc w:val="left"/>
      <w:pPr>
        <w:tabs>
          <w:tab w:val="num" w:pos="1080"/>
        </w:tabs>
        <w:ind w:left="1080" w:hanging="360"/>
      </w:pPr>
      <w:rPr>
        <w:rFonts w:hint="default"/>
        <w:b w:val="0"/>
        <w:i w:val="0"/>
        <w:u w:val="none"/>
      </w:rPr>
    </w:lvl>
    <w:lvl w:ilvl="2">
      <w:start w:val="1"/>
      <w:numFmt w:val="upp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79C55F9A"/>
    <w:multiLevelType w:val="hybridMultilevel"/>
    <w:tmpl w:val="E6587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381130"/>
    <w:multiLevelType w:val="multilevel"/>
    <w:tmpl w:val="49F465C4"/>
    <w:lvl w:ilvl="0">
      <w:start w:val="1"/>
      <w:numFmt w:val="decimal"/>
      <w:lvlText w:val="%1."/>
      <w:lvlJc w:val="left"/>
      <w:pPr>
        <w:tabs>
          <w:tab w:val="num" w:pos="504"/>
        </w:tabs>
        <w:ind w:left="504" w:hanging="504"/>
      </w:pPr>
      <w:rPr>
        <w:rFonts w:hint="default"/>
        <w:b w:val="0"/>
        <w:i w:val="0"/>
        <w:u w:val="none"/>
      </w:rPr>
    </w:lvl>
    <w:lvl w:ilvl="1">
      <w:start w:val="1"/>
      <w:numFmt w:val="decimal"/>
      <w:lvlText w:val="%2."/>
      <w:lvlJc w:val="left"/>
      <w:pPr>
        <w:tabs>
          <w:tab w:val="num" w:pos="1080"/>
        </w:tabs>
        <w:ind w:left="1080" w:hanging="360"/>
      </w:pPr>
      <w:rPr>
        <w:rFonts w:hint="default"/>
        <w:b w:val="0"/>
        <w:i w:val="0"/>
        <w:u w:val="none"/>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7"/>
  </w:num>
  <w:num w:numId="4">
    <w:abstractNumId w:val="6"/>
  </w:num>
  <w:num w:numId="5">
    <w:abstractNumId w:val="4"/>
  </w:num>
  <w:num w:numId="6">
    <w:abstractNumId w:val="2"/>
  </w:num>
  <w:num w:numId="7">
    <w:abstractNumId w:val="0"/>
  </w:num>
  <w:num w:numId="8">
    <w:abstractNumId w:val="11"/>
  </w:num>
  <w:num w:numId="9">
    <w:abstractNumId w:val="9"/>
  </w:num>
  <w:num w:numId="10">
    <w:abstractNumId w:val="12"/>
  </w:num>
  <w:num w:numId="11">
    <w:abstractNumId w:val="10"/>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7F9B"/>
    <w:rsid w:val="00033311"/>
    <w:rsid w:val="00057FC2"/>
    <w:rsid w:val="0007498F"/>
    <w:rsid w:val="00097F9B"/>
    <w:rsid w:val="000C089E"/>
    <w:rsid w:val="000D1D42"/>
    <w:rsid w:val="00256DA9"/>
    <w:rsid w:val="002E0659"/>
    <w:rsid w:val="00334544"/>
    <w:rsid w:val="00437608"/>
    <w:rsid w:val="004A0864"/>
    <w:rsid w:val="00501AD0"/>
    <w:rsid w:val="00553DB9"/>
    <w:rsid w:val="005D5098"/>
    <w:rsid w:val="005F3339"/>
    <w:rsid w:val="00615705"/>
    <w:rsid w:val="00680BC5"/>
    <w:rsid w:val="0072244C"/>
    <w:rsid w:val="00775447"/>
    <w:rsid w:val="007C08BB"/>
    <w:rsid w:val="009217FE"/>
    <w:rsid w:val="00966894"/>
    <w:rsid w:val="00A42B1B"/>
    <w:rsid w:val="00BC25C2"/>
    <w:rsid w:val="00D4261F"/>
    <w:rsid w:val="00D44FC1"/>
    <w:rsid w:val="00F912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7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9F7"/>
    <w:pPr>
      <w:tabs>
        <w:tab w:val="center" w:pos="4320"/>
        <w:tab w:val="right" w:pos="8640"/>
      </w:tabs>
    </w:pPr>
  </w:style>
  <w:style w:type="paragraph" w:styleId="Footer">
    <w:name w:val="footer"/>
    <w:basedOn w:val="Normal"/>
    <w:rsid w:val="008959F7"/>
    <w:pPr>
      <w:tabs>
        <w:tab w:val="center" w:pos="4320"/>
        <w:tab w:val="right" w:pos="8640"/>
      </w:tabs>
    </w:pPr>
  </w:style>
  <w:style w:type="character" w:styleId="PageNumber">
    <w:name w:val="page number"/>
    <w:basedOn w:val="DefaultParagraphFont"/>
    <w:rsid w:val="008959F7"/>
  </w:style>
  <w:style w:type="paragraph" w:styleId="BalloonText">
    <w:name w:val="Balloon Text"/>
    <w:basedOn w:val="Normal"/>
    <w:semiHidden/>
    <w:rsid w:val="00C24274"/>
    <w:rPr>
      <w:rFonts w:ascii="Tahoma" w:hAnsi="Tahoma" w:cs="Tahoma"/>
      <w:sz w:val="16"/>
      <w:szCs w:val="16"/>
    </w:rPr>
  </w:style>
  <w:style w:type="character" w:styleId="Hyperlink">
    <w:name w:val="Hyperlink"/>
    <w:basedOn w:val="DefaultParagraphFont"/>
    <w:rsid w:val="0059747E"/>
    <w:rPr>
      <w:color w:val="0000FF"/>
      <w:u w:val="single"/>
    </w:rPr>
  </w:style>
  <w:style w:type="character" w:styleId="CommentReference">
    <w:name w:val="annotation reference"/>
    <w:basedOn w:val="DefaultParagraphFont"/>
    <w:semiHidden/>
    <w:rsid w:val="009C707F"/>
    <w:rPr>
      <w:sz w:val="16"/>
      <w:szCs w:val="16"/>
    </w:rPr>
  </w:style>
  <w:style w:type="paragraph" w:styleId="CommentText">
    <w:name w:val="annotation text"/>
    <w:basedOn w:val="Normal"/>
    <w:semiHidden/>
    <w:rsid w:val="009C707F"/>
    <w:rPr>
      <w:sz w:val="20"/>
      <w:szCs w:val="20"/>
    </w:rPr>
  </w:style>
  <w:style w:type="paragraph" w:styleId="CommentSubject">
    <w:name w:val="annotation subject"/>
    <w:basedOn w:val="CommentText"/>
    <w:next w:val="CommentText"/>
    <w:semiHidden/>
    <w:rsid w:val="009C707F"/>
    <w:rPr>
      <w:b/>
      <w:bCs/>
    </w:rPr>
  </w:style>
  <w:style w:type="paragraph" w:styleId="BodyText">
    <w:name w:val="Body Text"/>
    <w:basedOn w:val="Normal"/>
    <w:link w:val="BodyTextChar"/>
    <w:rsid w:val="004A0864"/>
    <w:pPr>
      <w:spacing w:after="120"/>
    </w:pPr>
    <w:rPr>
      <w:sz w:val="20"/>
      <w:szCs w:val="20"/>
    </w:rPr>
  </w:style>
  <w:style w:type="character" w:customStyle="1" w:styleId="BodyTextChar">
    <w:name w:val="Body Text Char"/>
    <w:basedOn w:val="DefaultParagraphFont"/>
    <w:link w:val="BodyText"/>
    <w:rsid w:val="004A0864"/>
  </w:style>
  <w:style w:type="paragraph" w:styleId="ListParagraph">
    <w:name w:val="List Paragraph"/>
    <w:basedOn w:val="Normal"/>
    <w:uiPriority w:val="34"/>
    <w:qFormat/>
    <w:rsid w:val="0061570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9F353A90175844A873FD5F76B3F9D5" ma:contentTypeVersion="2" ma:contentTypeDescription="Create a new document." ma:contentTypeScope="" ma:versionID="7309324ba73ee8a486e8c5c14c3a5a00">
  <xsd:schema xmlns:xsd="http://www.w3.org/2001/XMLSchema" xmlns:p="http://schemas.microsoft.com/office/2006/metadata/properties" targetNamespace="http://schemas.microsoft.com/office/2006/metadata/properties" ma:root="true" ma:fieldsID="0888227f0583de4b45fdba17b7fe2b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B7C7-42D0-49E2-859E-2D9F05D20CF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AD1C68D9-EEB9-4F1F-9292-3F1A2FFAD083}">
  <ds:schemaRefs>
    <ds:schemaRef ds:uri="http://schemas.microsoft.com/sharepoint/v3/contenttype/forms"/>
  </ds:schemaRefs>
</ds:datastoreItem>
</file>

<file path=customXml/itemProps3.xml><?xml version="1.0" encoding="utf-8"?>
<ds:datastoreItem xmlns:ds="http://schemas.openxmlformats.org/officeDocument/2006/customXml" ds:itemID="{E78B5328-4C07-4368-B19A-C923BD756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7CF083-330B-4C44-9613-DC06F737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Employment Security Department</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
  <dc:creator>Employment Security Department</dc:creator>
  <cp:keywords/>
  <dc:description/>
  <cp:lastModifiedBy>mmcmurry</cp:lastModifiedBy>
  <cp:revision>3</cp:revision>
  <cp:lastPrinted>2010-02-25T17:20:00Z</cp:lastPrinted>
  <dcterms:created xsi:type="dcterms:W3CDTF">2010-06-21T15:59:00Z</dcterms:created>
  <dcterms:modified xsi:type="dcterms:W3CDTF">2011-03-02T18:34:00Z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0x0101001F9F353A90175844A873FD5F76B3F9D5</vt:lpwstr>
  </property>
</Properties>
</file>