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70" w:rsidRPr="00FC65F0" w:rsidRDefault="00F23170" w:rsidP="00965B60">
      <w:pPr>
        <w:autoSpaceDE w:val="0"/>
        <w:autoSpaceDN w:val="0"/>
        <w:adjustRightInd w:val="0"/>
        <w:rPr>
          <w:rFonts w:ascii="Arial" w:hAnsi="Arial" w:cs="Arial"/>
          <w:b/>
          <w:bCs/>
          <w:sz w:val="22"/>
          <w:szCs w:val="22"/>
        </w:rPr>
      </w:pPr>
      <w:r w:rsidRPr="00587C46">
        <w:rPr>
          <w:rFonts w:ascii="Arial" w:hAnsi="Arial" w:cs="Arial"/>
          <w:b/>
          <w:bCs/>
          <w:sz w:val="22"/>
          <w:szCs w:val="22"/>
        </w:rPr>
        <w:t xml:space="preserve">TITLE: </w:t>
      </w:r>
      <w:r w:rsidR="00FC65F0">
        <w:rPr>
          <w:rFonts w:ascii="Arial" w:hAnsi="Arial" w:cs="Arial"/>
          <w:b/>
          <w:bCs/>
          <w:sz w:val="22"/>
          <w:szCs w:val="22"/>
        </w:rPr>
        <w:t>Labor Exchange</w:t>
      </w:r>
      <w:r w:rsidR="00E036DF">
        <w:rPr>
          <w:rFonts w:ascii="Arial" w:hAnsi="Arial" w:cs="Arial"/>
          <w:b/>
          <w:bCs/>
          <w:sz w:val="22"/>
          <w:szCs w:val="22"/>
        </w:rPr>
        <w:t xml:space="preserve">; </w:t>
      </w:r>
      <w:r w:rsidR="00C47CC8">
        <w:rPr>
          <w:rFonts w:ascii="Arial" w:hAnsi="Arial" w:cs="Arial"/>
          <w:b/>
          <w:bCs/>
          <w:sz w:val="22"/>
          <w:szCs w:val="22"/>
        </w:rPr>
        <w:t>Washington/Alaska Extended Worker Recruitment Policy</w:t>
      </w:r>
    </w:p>
    <w:p w:rsidR="00965B60" w:rsidRDefault="00965B60" w:rsidP="00965B60">
      <w:pPr>
        <w:rPr>
          <w:rFonts w:ascii="Arial" w:hAnsi="Arial" w:cs="Arial"/>
          <w:b/>
          <w:bCs/>
          <w:sz w:val="22"/>
          <w:szCs w:val="22"/>
          <w:highlight w:val="yellow"/>
        </w:rPr>
      </w:pPr>
    </w:p>
    <w:p w:rsidR="00965B60" w:rsidRPr="00587C46" w:rsidRDefault="00965B60" w:rsidP="00965B60">
      <w:pPr>
        <w:spacing w:after="120"/>
        <w:rPr>
          <w:rFonts w:ascii="Arial" w:hAnsi="Arial" w:cs="Arial"/>
          <w:b/>
          <w:bCs/>
          <w:sz w:val="22"/>
          <w:szCs w:val="22"/>
        </w:rPr>
      </w:pPr>
      <w:r w:rsidRPr="008711B3">
        <w:rPr>
          <w:rFonts w:ascii="Arial" w:hAnsi="Arial" w:cs="Arial"/>
          <w:b/>
          <w:bCs/>
          <w:sz w:val="22"/>
          <w:szCs w:val="22"/>
        </w:rPr>
        <w:t>REFERENCES</w:t>
      </w:r>
    </w:p>
    <w:p w:rsidR="00C47CC8" w:rsidRPr="00C47CC8" w:rsidRDefault="00C47CC8" w:rsidP="00C47CC8">
      <w:pPr>
        <w:pStyle w:val="NormalWeb"/>
        <w:spacing w:before="0" w:beforeAutospacing="0" w:after="0" w:afterAutospacing="0"/>
        <w:rPr>
          <w:rFonts w:ascii="Arial" w:hAnsi="Arial" w:cs="Arial"/>
          <w:sz w:val="22"/>
          <w:szCs w:val="22"/>
        </w:rPr>
      </w:pPr>
      <w:r w:rsidRPr="00C47CC8">
        <w:rPr>
          <w:rFonts w:ascii="Arial" w:hAnsi="Arial" w:cs="Arial"/>
          <w:sz w:val="22"/>
          <w:szCs w:val="22"/>
        </w:rPr>
        <w:t>The Workforce Investment Act (WIA) of 1998, Public Law 103-152 (WorkSource); the Wagner-Peyser Act as amended by WIA (Labor Exchange); the Code of Federal Regulations (CFR), Title 20, Chapter V, Part 652; and the Interagency Agreement between the State of Washington Employment Security Department and the State of Alaska Department of Labor Employment Security Division.</w:t>
      </w:r>
    </w:p>
    <w:p w:rsidR="00484497" w:rsidRDefault="00484497" w:rsidP="00723C01">
      <w:pPr>
        <w:pStyle w:val="NormalWeb"/>
        <w:spacing w:before="0" w:beforeAutospacing="0" w:after="0" w:afterAutospacing="0"/>
        <w:rPr>
          <w:rFonts w:ascii="Arial" w:hAnsi="Arial" w:cs="Arial"/>
          <w:sz w:val="20"/>
          <w:szCs w:val="20"/>
        </w:rPr>
      </w:pPr>
    </w:p>
    <w:p w:rsidR="00723C01" w:rsidRPr="00C73CFC" w:rsidRDefault="00064BF1" w:rsidP="00723C01">
      <w:pPr>
        <w:pStyle w:val="NormalWeb"/>
        <w:spacing w:before="0" w:beforeAutospacing="0" w:after="0" w:afterAutospacing="0"/>
        <w:rPr>
          <w:rFonts w:ascii="Arial" w:hAnsi="Arial" w:cs="Arial"/>
          <w:sz w:val="22"/>
          <w:szCs w:val="22"/>
        </w:rPr>
      </w:pPr>
      <w:r w:rsidRPr="0022347E">
        <w:rPr>
          <w:rFonts w:ascii="Arial" w:hAnsi="Arial" w:cs="Arial"/>
          <w:sz w:val="22"/>
          <w:szCs w:val="22"/>
        </w:rPr>
        <w:t>R</w:t>
      </w:r>
      <w:r w:rsidR="00723C01" w:rsidRPr="0022347E">
        <w:rPr>
          <w:rFonts w:ascii="Arial" w:hAnsi="Arial" w:cs="Arial"/>
          <w:sz w:val="22"/>
          <w:szCs w:val="22"/>
        </w:rPr>
        <w:t xml:space="preserve">efer to </w:t>
      </w:r>
      <w:r w:rsidRPr="0022347E">
        <w:rPr>
          <w:rFonts w:ascii="Arial" w:hAnsi="Arial" w:cs="Arial"/>
          <w:sz w:val="22"/>
          <w:szCs w:val="22"/>
        </w:rPr>
        <w:t>LX-</w:t>
      </w:r>
      <w:r w:rsidR="0022347E">
        <w:rPr>
          <w:rFonts w:ascii="Arial" w:hAnsi="Arial" w:cs="Arial"/>
          <w:sz w:val="22"/>
          <w:szCs w:val="22"/>
        </w:rPr>
        <w:t xml:space="preserve">Procedure-WA_AK </w:t>
      </w:r>
      <w:r w:rsidR="00C47CC8" w:rsidRPr="0022347E">
        <w:rPr>
          <w:rFonts w:ascii="Arial" w:hAnsi="Arial" w:cs="Arial"/>
          <w:sz w:val="22"/>
          <w:szCs w:val="22"/>
        </w:rPr>
        <w:t>Recruitment-4006-0690</w:t>
      </w:r>
      <w:r w:rsidRPr="0022347E">
        <w:rPr>
          <w:rFonts w:ascii="Arial" w:hAnsi="Arial" w:cs="Arial"/>
          <w:sz w:val="22"/>
          <w:szCs w:val="22"/>
        </w:rPr>
        <w:t xml:space="preserve"> for</w:t>
      </w:r>
      <w:r w:rsidR="0053770F" w:rsidRPr="0022347E">
        <w:rPr>
          <w:rFonts w:ascii="Arial" w:hAnsi="Arial" w:cs="Arial"/>
          <w:sz w:val="22"/>
          <w:szCs w:val="22"/>
        </w:rPr>
        <w:t xml:space="preserve"> procedures to</w:t>
      </w:r>
      <w:r w:rsidR="00723C01" w:rsidRPr="0022347E">
        <w:rPr>
          <w:rFonts w:ascii="Arial" w:hAnsi="Arial" w:cs="Arial"/>
          <w:sz w:val="22"/>
          <w:szCs w:val="22"/>
        </w:rPr>
        <w:t xml:space="preserve"> this Policy</w:t>
      </w:r>
      <w:r w:rsidR="00723C01">
        <w:rPr>
          <w:rFonts w:ascii="Arial" w:hAnsi="Arial" w:cs="Arial"/>
          <w:sz w:val="22"/>
          <w:szCs w:val="22"/>
        </w:rPr>
        <w:t>.</w:t>
      </w:r>
    </w:p>
    <w:p w:rsidR="009A5CE7" w:rsidRDefault="009A5CE7" w:rsidP="009A5CE7">
      <w:pPr>
        <w:pStyle w:val="NormalWeb"/>
        <w:spacing w:before="0" w:beforeAutospacing="0" w:after="0" w:afterAutospacing="0"/>
        <w:rPr>
          <w:rFonts w:ascii="Arial" w:hAnsi="Arial" w:cs="Arial"/>
          <w:bCs/>
          <w:sz w:val="22"/>
          <w:szCs w:val="22"/>
        </w:rPr>
      </w:pPr>
    </w:p>
    <w:p w:rsidR="00845D19" w:rsidRPr="009A5CE7" w:rsidRDefault="009035C7" w:rsidP="009A5CE7">
      <w:pPr>
        <w:pStyle w:val="NormalWeb"/>
        <w:spacing w:before="0" w:beforeAutospacing="0" w:after="120" w:afterAutospacing="0"/>
        <w:rPr>
          <w:rFonts w:ascii="Arial" w:hAnsi="Arial" w:cs="Arial"/>
          <w:sz w:val="22"/>
          <w:szCs w:val="22"/>
        </w:rPr>
      </w:pPr>
      <w:r w:rsidRPr="0064332D">
        <w:rPr>
          <w:rFonts w:ascii="Arial" w:hAnsi="Arial" w:cs="Arial"/>
          <w:b/>
          <w:bCs/>
          <w:sz w:val="22"/>
          <w:szCs w:val="22"/>
        </w:rPr>
        <w:t>PURPOSE</w:t>
      </w:r>
      <w:r w:rsidRPr="00587C46">
        <w:rPr>
          <w:rFonts w:ascii="Arial" w:hAnsi="Arial" w:cs="Arial"/>
          <w:b/>
          <w:bCs/>
          <w:sz w:val="22"/>
          <w:szCs w:val="22"/>
        </w:rPr>
        <w:t xml:space="preserve"> </w:t>
      </w:r>
    </w:p>
    <w:p w:rsidR="00C47CC8" w:rsidRPr="00C47CC8" w:rsidRDefault="00C47CC8" w:rsidP="00C47CC8">
      <w:pPr>
        <w:pStyle w:val="NormalWeb"/>
        <w:spacing w:before="0" w:beforeAutospacing="0" w:after="0" w:afterAutospacing="0"/>
        <w:rPr>
          <w:rFonts w:ascii="Arial" w:hAnsi="Arial" w:cs="Arial"/>
          <w:sz w:val="22"/>
          <w:szCs w:val="22"/>
        </w:rPr>
      </w:pPr>
      <w:r w:rsidRPr="00C47CC8">
        <w:rPr>
          <w:rFonts w:ascii="Arial" w:hAnsi="Arial" w:cs="Arial"/>
          <w:sz w:val="22"/>
          <w:szCs w:val="22"/>
        </w:rPr>
        <w:t xml:space="preserve">The Washington State Employment Security Department and the Alaska Department of Labor's Employment Security Division have an </w:t>
      </w:r>
      <w:r w:rsidRPr="002E0E65">
        <w:rPr>
          <w:rFonts w:ascii="Arial" w:hAnsi="Arial" w:cs="Arial"/>
          <w:sz w:val="22"/>
          <w:szCs w:val="22"/>
        </w:rPr>
        <w:t xml:space="preserve">Interagency Agreement </w:t>
      </w:r>
      <w:r w:rsidRPr="00C47CC8">
        <w:rPr>
          <w:rFonts w:ascii="Arial" w:hAnsi="Arial" w:cs="Arial"/>
          <w:sz w:val="22"/>
          <w:szCs w:val="22"/>
        </w:rPr>
        <w:t>that establishes the guidelines for extended worker recruitment. The purpose of the Agreement is to provide better assistance to employers in both states by extending the worker recruitment process to include both states when appropriate.</w:t>
      </w:r>
    </w:p>
    <w:p w:rsidR="00C47CC8" w:rsidRDefault="00C47CC8" w:rsidP="00C47CC8">
      <w:pPr>
        <w:pStyle w:val="NormalWeb"/>
        <w:spacing w:before="0" w:beforeAutospacing="0" w:after="0" w:afterAutospacing="0"/>
        <w:rPr>
          <w:rFonts w:ascii="Arial" w:hAnsi="Arial" w:cs="Arial"/>
          <w:sz w:val="22"/>
          <w:szCs w:val="22"/>
        </w:rPr>
      </w:pPr>
    </w:p>
    <w:p w:rsidR="00C47CC8" w:rsidRPr="00C47CC8" w:rsidRDefault="00C47CC8" w:rsidP="00C47CC8">
      <w:pPr>
        <w:pStyle w:val="NormalWeb"/>
        <w:spacing w:before="0" w:beforeAutospacing="0" w:after="0" w:afterAutospacing="0"/>
        <w:rPr>
          <w:rFonts w:ascii="Arial" w:hAnsi="Arial" w:cs="Arial"/>
          <w:sz w:val="22"/>
          <w:szCs w:val="22"/>
        </w:rPr>
      </w:pPr>
      <w:r w:rsidRPr="00C47CC8">
        <w:rPr>
          <w:rFonts w:ascii="Arial" w:hAnsi="Arial" w:cs="Arial"/>
          <w:sz w:val="22"/>
          <w:szCs w:val="22"/>
        </w:rPr>
        <w:t>Ideally, employers should extend their worker recruitment through their respective state agencies. In reality, however, a number of employers choose to contact the other state directly. This situation cannot be effectively controlled because employers have the right to contact the other state directly if they so choose. However, effective coordination between the two state agencies can lessen the confusion considerably.</w:t>
      </w:r>
    </w:p>
    <w:p w:rsidR="00C73CFC" w:rsidRPr="00B91592" w:rsidRDefault="00C73CFC" w:rsidP="00B91592">
      <w:pPr>
        <w:autoSpaceDE w:val="0"/>
        <w:autoSpaceDN w:val="0"/>
        <w:adjustRightInd w:val="0"/>
        <w:rPr>
          <w:rFonts w:ascii="Arial" w:hAnsi="Arial" w:cs="Arial"/>
          <w:b/>
          <w:bCs/>
          <w:sz w:val="22"/>
          <w:szCs w:val="22"/>
        </w:rPr>
      </w:pPr>
    </w:p>
    <w:p w:rsidR="009035C7" w:rsidRDefault="009035C7" w:rsidP="00C73CFC">
      <w:pPr>
        <w:autoSpaceDE w:val="0"/>
        <w:autoSpaceDN w:val="0"/>
        <w:adjustRightInd w:val="0"/>
        <w:spacing w:after="120"/>
        <w:rPr>
          <w:rFonts w:ascii="Arial" w:hAnsi="Arial" w:cs="Arial"/>
          <w:b/>
          <w:bCs/>
          <w:sz w:val="22"/>
          <w:szCs w:val="22"/>
        </w:rPr>
      </w:pPr>
      <w:r w:rsidRPr="0064332D">
        <w:rPr>
          <w:rFonts w:ascii="Arial" w:hAnsi="Arial" w:cs="Arial"/>
          <w:b/>
          <w:bCs/>
          <w:sz w:val="22"/>
          <w:szCs w:val="22"/>
        </w:rPr>
        <w:t>PERSONS AFFECTED</w:t>
      </w:r>
    </w:p>
    <w:p w:rsidR="00F23170" w:rsidRPr="00064BF1" w:rsidRDefault="00064BF1" w:rsidP="00C73CFC">
      <w:pPr>
        <w:rPr>
          <w:rFonts w:ascii="Arial" w:hAnsi="Arial" w:cs="Arial"/>
          <w:sz w:val="22"/>
          <w:szCs w:val="22"/>
        </w:rPr>
      </w:pPr>
      <w:r w:rsidRPr="00064BF1">
        <w:rPr>
          <w:rFonts w:ascii="Arial" w:hAnsi="Arial" w:cs="Arial"/>
          <w:sz w:val="22"/>
          <w:szCs w:val="22"/>
        </w:rPr>
        <w:t xml:space="preserve">This communication applies only to ESD </w:t>
      </w:r>
      <w:proofErr w:type="gramStart"/>
      <w:r w:rsidRPr="00064BF1">
        <w:rPr>
          <w:rFonts w:ascii="Arial" w:hAnsi="Arial" w:cs="Arial"/>
          <w:sz w:val="22"/>
          <w:szCs w:val="22"/>
        </w:rPr>
        <w:t>staff,</w:t>
      </w:r>
      <w:proofErr w:type="gramEnd"/>
      <w:r w:rsidRPr="00064BF1">
        <w:rPr>
          <w:rFonts w:ascii="Arial" w:hAnsi="Arial" w:cs="Arial"/>
          <w:sz w:val="22"/>
          <w:szCs w:val="22"/>
        </w:rPr>
        <w:t xml:space="preserve"> however, Workforce Development Councils (WDCs) and partner agencies are welcome and encouraged to use the information when developing local policies and procedures.</w:t>
      </w:r>
    </w:p>
    <w:p w:rsidR="00064BF1" w:rsidRPr="00C73CFC" w:rsidRDefault="00064BF1" w:rsidP="00C73CFC">
      <w:pPr>
        <w:rPr>
          <w:rFonts w:ascii="Arial" w:hAnsi="Arial" w:cs="Arial"/>
          <w:b/>
          <w:bCs/>
          <w:sz w:val="22"/>
          <w:szCs w:val="22"/>
        </w:rPr>
      </w:pPr>
    </w:p>
    <w:p w:rsidR="009840F0" w:rsidRDefault="00F23170" w:rsidP="00041599">
      <w:pPr>
        <w:spacing w:after="120"/>
        <w:rPr>
          <w:rFonts w:ascii="Arial" w:hAnsi="Arial" w:cs="Arial"/>
          <w:b/>
          <w:bCs/>
          <w:sz w:val="22"/>
          <w:szCs w:val="22"/>
        </w:rPr>
      </w:pPr>
      <w:r w:rsidRPr="008711B3">
        <w:rPr>
          <w:rFonts w:ascii="Arial" w:hAnsi="Arial" w:cs="Arial"/>
          <w:b/>
          <w:bCs/>
          <w:sz w:val="22"/>
          <w:szCs w:val="22"/>
        </w:rPr>
        <w:t>DEFINITIONS</w:t>
      </w:r>
      <w:r w:rsidR="009840F0" w:rsidRPr="00587C46">
        <w:rPr>
          <w:rFonts w:ascii="Arial" w:hAnsi="Arial" w:cs="Arial"/>
          <w:b/>
          <w:bCs/>
          <w:sz w:val="22"/>
          <w:szCs w:val="22"/>
        </w:rPr>
        <w:t xml:space="preserve"> </w:t>
      </w:r>
    </w:p>
    <w:p w:rsidR="00064BF1" w:rsidRDefault="006753F8" w:rsidP="00064BF1">
      <w:pPr>
        <w:autoSpaceDE w:val="0"/>
        <w:autoSpaceDN w:val="0"/>
        <w:adjustRightInd w:val="0"/>
        <w:rPr>
          <w:rFonts w:ascii="Arial" w:hAnsi="Arial" w:cs="Arial"/>
          <w:bCs/>
          <w:sz w:val="22"/>
          <w:szCs w:val="22"/>
        </w:rPr>
      </w:pPr>
      <w:r>
        <w:rPr>
          <w:rFonts w:ascii="Arial" w:hAnsi="Arial" w:cs="Arial"/>
          <w:bCs/>
          <w:sz w:val="22"/>
          <w:szCs w:val="22"/>
        </w:rPr>
        <w:t>None</w:t>
      </w:r>
    </w:p>
    <w:p w:rsidR="006753F8" w:rsidRPr="006753F8" w:rsidRDefault="006753F8" w:rsidP="00064BF1">
      <w:pPr>
        <w:autoSpaceDE w:val="0"/>
        <w:autoSpaceDN w:val="0"/>
        <w:adjustRightInd w:val="0"/>
        <w:rPr>
          <w:rFonts w:ascii="Arial" w:hAnsi="Arial" w:cs="Arial"/>
          <w:sz w:val="20"/>
          <w:szCs w:val="20"/>
        </w:rPr>
      </w:pPr>
    </w:p>
    <w:p w:rsidR="008711B3" w:rsidRDefault="00DF4892" w:rsidP="00064BF1">
      <w:pPr>
        <w:autoSpaceDE w:val="0"/>
        <w:autoSpaceDN w:val="0"/>
        <w:adjustRightInd w:val="0"/>
        <w:spacing w:after="120"/>
        <w:rPr>
          <w:rFonts w:ascii="Arial" w:hAnsi="Arial" w:cs="Arial"/>
          <w:b/>
          <w:bCs/>
          <w:sz w:val="22"/>
          <w:szCs w:val="22"/>
        </w:rPr>
      </w:pPr>
      <w:r>
        <w:rPr>
          <w:rFonts w:ascii="Arial" w:hAnsi="Arial" w:cs="Arial"/>
          <w:b/>
          <w:bCs/>
          <w:sz w:val="22"/>
          <w:szCs w:val="22"/>
        </w:rPr>
        <w:t>POLICY</w:t>
      </w:r>
    </w:p>
    <w:p w:rsidR="006753F8" w:rsidRPr="006753F8" w:rsidRDefault="006753F8" w:rsidP="006753F8">
      <w:pPr>
        <w:pStyle w:val="NormalWeb"/>
        <w:spacing w:before="0" w:beforeAutospacing="0" w:after="120" w:afterAutospacing="0"/>
        <w:rPr>
          <w:rFonts w:ascii="Arial" w:hAnsi="Arial" w:cs="Arial"/>
          <w:sz w:val="22"/>
          <w:szCs w:val="22"/>
        </w:rPr>
      </w:pPr>
      <w:r w:rsidRPr="006753F8">
        <w:rPr>
          <w:rFonts w:ascii="Arial" w:hAnsi="Arial" w:cs="Arial"/>
          <w:sz w:val="22"/>
          <w:szCs w:val="22"/>
        </w:rPr>
        <w:t>It is the policy of the Employment Security Department (ESD) to coordinate with the Alaska Department of Labor's Employment Security Division when:</w:t>
      </w:r>
    </w:p>
    <w:p w:rsidR="006753F8" w:rsidRPr="006753F8" w:rsidRDefault="006753F8" w:rsidP="006753F8">
      <w:pPr>
        <w:pStyle w:val="NormalWeb"/>
        <w:numPr>
          <w:ilvl w:val="0"/>
          <w:numId w:val="32"/>
        </w:numPr>
        <w:spacing w:before="0" w:beforeAutospacing="0" w:after="0" w:afterAutospacing="0"/>
        <w:rPr>
          <w:rFonts w:ascii="Arial" w:hAnsi="Arial" w:cs="Arial"/>
          <w:sz w:val="22"/>
          <w:szCs w:val="22"/>
        </w:rPr>
      </w:pPr>
      <w:r w:rsidRPr="006753F8">
        <w:rPr>
          <w:rFonts w:ascii="Arial" w:hAnsi="Arial" w:cs="Arial"/>
          <w:sz w:val="22"/>
          <w:szCs w:val="22"/>
        </w:rPr>
        <w:t>An Alaska employer requests that the Alaska Employment Security Division extend worker recruitment to Washington;</w:t>
      </w:r>
      <w:r w:rsidRPr="006753F8">
        <w:rPr>
          <w:rFonts w:ascii="Arial" w:hAnsi="Arial" w:cs="Arial"/>
          <w:sz w:val="22"/>
          <w:szCs w:val="22"/>
        </w:rPr>
        <w:br/>
        <w:t xml:space="preserve">    </w:t>
      </w:r>
    </w:p>
    <w:p w:rsidR="006753F8" w:rsidRPr="006753F8" w:rsidRDefault="006753F8" w:rsidP="006753F8">
      <w:pPr>
        <w:pStyle w:val="NormalWeb"/>
        <w:numPr>
          <w:ilvl w:val="0"/>
          <w:numId w:val="32"/>
        </w:numPr>
        <w:spacing w:before="0" w:beforeAutospacing="0" w:after="0" w:afterAutospacing="0"/>
        <w:rPr>
          <w:rFonts w:ascii="Arial" w:hAnsi="Arial" w:cs="Arial"/>
          <w:sz w:val="22"/>
          <w:szCs w:val="22"/>
        </w:rPr>
      </w:pPr>
      <w:r w:rsidRPr="006753F8">
        <w:rPr>
          <w:rFonts w:ascii="Arial" w:hAnsi="Arial" w:cs="Arial"/>
          <w:sz w:val="22"/>
          <w:szCs w:val="22"/>
        </w:rPr>
        <w:t>An Alaska employer contacts a Washington service delivery site directly to recruit workers for a work site in Alaska;</w:t>
      </w:r>
      <w:r w:rsidRPr="006753F8">
        <w:rPr>
          <w:rFonts w:ascii="Arial" w:hAnsi="Arial" w:cs="Arial"/>
          <w:sz w:val="22"/>
          <w:szCs w:val="22"/>
        </w:rPr>
        <w:br/>
        <w:t xml:space="preserve">    </w:t>
      </w:r>
    </w:p>
    <w:p w:rsidR="006753F8" w:rsidRPr="006753F8" w:rsidRDefault="006753F8" w:rsidP="006753F8">
      <w:pPr>
        <w:pStyle w:val="NormalWeb"/>
        <w:numPr>
          <w:ilvl w:val="0"/>
          <w:numId w:val="32"/>
        </w:numPr>
        <w:spacing w:before="0" w:beforeAutospacing="0" w:after="0" w:afterAutospacing="0"/>
        <w:rPr>
          <w:rFonts w:ascii="Arial" w:hAnsi="Arial" w:cs="Arial"/>
          <w:sz w:val="22"/>
          <w:szCs w:val="22"/>
        </w:rPr>
      </w:pPr>
      <w:r w:rsidRPr="006753F8">
        <w:rPr>
          <w:rFonts w:ascii="Arial" w:hAnsi="Arial" w:cs="Arial"/>
          <w:sz w:val="22"/>
          <w:szCs w:val="22"/>
        </w:rPr>
        <w:t>A Washington employer contacts a Washington service delivery site directly to recruit workers for a work site in Alaska;</w:t>
      </w:r>
      <w:r w:rsidRPr="006753F8">
        <w:rPr>
          <w:rFonts w:ascii="Arial" w:hAnsi="Arial" w:cs="Arial"/>
          <w:sz w:val="22"/>
          <w:szCs w:val="22"/>
        </w:rPr>
        <w:br/>
        <w:t xml:space="preserve">    </w:t>
      </w:r>
    </w:p>
    <w:p w:rsidR="006753F8" w:rsidRPr="006753F8" w:rsidRDefault="006753F8" w:rsidP="006753F8">
      <w:pPr>
        <w:pStyle w:val="NormalWeb"/>
        <w:numPr>
          <w:ilvl w:val="0"/>
          <w:numId w:val="32"/>
        </w:numPr>
        <w:spacing w:before="0" w:beforeAutospacing="0" w:after="0" w:afterAutospacing="0"/>
        <w:rPr>
          <w:rFonts w:ascii="Arial" w:hAnsi="Arial" w:cs="Arial"/>
          <w:sz w:val="22"/>
          <w:szCs w:val="22"/>
        </w:rPr>
      </w:pPr>
      <w:r w:rsidRPr="006753F8">
        <w:rPr>
          <w:rFonts w:ascii="Arial" w:hAnsi="Arial" w:cs="Arial"/>
          <w:sz w:val="22"/>
          <w:szCs w:val="22"/>
        </w:rPr>
        <w:t>A Washington employer requests that ESD extend worker recruitment to Alaska;</w:t>
      </w:r>
      <w:r w:rsidRPr="006753F8">
        <w:rPr>
          <w:rFonts w:ascii="Arial" w:hAnsi="Arial" w:cs="Arial"/>
          <w:sz w:val="22"/>
          <w:szCs w:val="22"/>
        </w:rPr>
        <w:br/>
        <w:t xml:space="preserve">    </w:t>
      </w:r>
    </w:p>
    <w:p w:rsidR="006753F8" w:rsidRPr="006753F8" w:rsidRDefault="006753F8" w:rsidP="006753F8">
      <w:pPr>
        <w:pStyle w:val="NormalWeb"/>
        <w:numPr>
          <w:ilvl w:val="0"/>
          <w:numId w:val="32"/>
        </w:numPr>
        <w:spacing w:before="0" w:beforeAutospacing="0" w:after="0" w:afterAutospacing="0"/>
        <w:rPr>
          <w:rFonts w:ascii="Arial" w:hAnsi="Arial" w:cs="Arial"/>
          <w:sz w:val="22"/>
          <w:szCs w:val="22"/>
        </w:rPr>
      </w:pPr>
      <w:r w:rsidRPr="006753F8">
        <w:rPr>
          <w:rFonts w:ascii="Arial" w:hAnsi="Arial" w:cs="Arial"/>
          <w:sz w:val="22"/>
          <w:szCs w:val="22"/>
        </w:rPr>
        <w:lastRenderedPageBreak/>
        <w:t xml:space="preserve">A Washington employer contacts an Alaska Job Service office directly to recruit workers for a work site in Washington; </w:t>
      </w:r>
      <w:r w:rsidRPr="006753F8">
        <w:rPr>
          <w:rFonts w:ascii="Arial" w:hAnsi="Arial" w:cs="Arial"/>
          <w:b/>
          <w:bCs/>
          <w:sz w:val="22"/>
          <w:szCs w:val="22"/>
        </w:rPr>
        <w:t>or</w:t>
      </w:r>
      <w:r w:rsidRPr="006753F8">
        <w:rPr>
          <w:rFonts w:ascii="Arial" w:hAnsi="Arial" w:cs="Arial"/>
          <w:b/>
          <w:bCs/>
          <w:sz w:val="22"/>
          <w:szCs w:val="22"/>
        </w:rPr>
        <w:br/>
        <w:t xml:space="preserve">    </w:t>
      </w:r>
    </w:p>
    <w:p w:rsidR="006753F8" w:rsidRPr="006753F8" w:rsidRDefault="006753F8" w:rsidP="006753F8">
      <w:pPr>
        <w:pStyle w:val="NormalWeb"/>
        <w:numPr>
          <w:ilvl w:val="0"/>
          <w:numId w:val="32"/>
        </w:numPr>
        <w:spacing w:before="0" w:beforeAutospacing="0" w:after="120" w:afterAutospacing="0"/>
        <w:rPr>
          <w:rFonts w:ascii="Arial" w:hAnsi="Arial" w:cs="Arial"/>
          <w:sz w:val="22"/>
          <w:szCs w:val="22"/>
        </w:rPr>
      </w:pPr>
      <w:r w:rsidRPr="006753F8">
        <w:rPr>
          <w:rFonts w:ascii="Arial" w:hAnsi="Arial" w:cs="Arial"/>
          <w:sz w:val="22"/>
          <w:szCs w:val="22"/>
        </w:rPr>
        <w:t xml:space="preserve">An Alaska employer contacts an Alaska Job Service office directly to recruit workers for a work site in Washington. </w:t>
      </w:r>
    </w:p>
    <w:p w:rsidR="006753F8" w:rsidRDefault="006753F8" w:rsidP="006753F8">
      <w:pPr>
        <w:pStyle w:val="NormalWeb"/>
        <w:spacing w:before="0" w:beforeAutospacing="0" w:after="0" w:afterAutospacing="0"/>
        <w:rPr>
          <w:rFonts w:ascii="Arial" w:hAnsi="Arial" w:cs="Arial"/>
          <w:sz w:val="22"/>
          <w:szCs w:val="22"/>
        </w:rPr>
      </w:pPr>
      <w:r w:rsidRPr="006753F8">
        <w:rPr>
          <w:rFonts w:ascii="Arial" w:hAnsi="Arial" w:cs="Arial"/>
          <w:sz w:val="22"/>
          <w:szCs w:val="22"/>
        </w:rPr>
        <w:t>The key to determining when worker recruitment needs to be coordinated between Washington and Alaska depends entirely upon the location of the work site and the areas of expected recruitment. The state in which the employer is based is irrelevant. It also makes no difference whether the work site is ashore or afloat.</w:t>
      </w:r>
    </w:p>
    <w:p w:rsidR="006753F8" w:rsidRPr="006753F8" w:rsidRDefault="006753F8" w:rsidP="006753F8">
      <w:pPr>
        <w:pStyle w:val="NormalWeb"/>
        <w:spacing w:before="0" w:beforeAutospacing="0" w:after="0" w:afterAutospacing="0"/>
        <w:rPr>
          <w:rFonts w:ascii="Arial" w:hAnsi="Arial" w:cs="Arial"/>
          <w:sz w:val="22"/>
          <w:szCs w:val="22"/>
        </w:rPr>
      </w:pPr>
    </w:p>
    <w:p w:rsidR="006753F8" w:rsidRPr="006753F8" w:rsidRDefault="006753F8" w:rsidP="006753F8">
      <w:pPr>
        <w:pStyle w:val="NormalWeb"/>
        <w:spacing w:before="0" w:beforeAutospacing="0" w:after="0" w:afterAutospacing="0"/>
        <w:rPr>
          <w:rFonts w:ascii="Arial" w:hAnsi="Arial" w:cs="Arial"/>
          <w:sz w:val="22"/>
          <w:szCs w:val="22"/>
        </w:rPr>
      </w:pPr>
      <w:r w:rsidRPr="006753F8">
        <w:rPr>
          <w:rFonts w:ascii="Arial" w:hAnsi="Arial" w:cs="Arial"/>
          <w:sz w:val="22"/>
          <w:szCs w:val="22"/>
        </w:rPr>
        <w:t>All such coordination activities are controlled through a work station in Washington identified as the "Alaska Desk", and a work station in Alaska identified as the "Washington Desk".</w:t>
      </w:r>
    </w:p>
    <w:p w:rsidR="008A0A9E" w:rsidRDefault="008A0A9E" w:rsidP="008A0A9E">
      <w:pPr>
        <w:rPr>
          <w:rFonts w:ascii="Arial" w:hAnsi="Arial" w:cs="Arial"/>
          <w:b/>
          <w:bCs/>
          <w:sz w:val="22"/>
          <w:szCs w:val="22"/>
        </w:rPr>
      </w:pPr>
    </w:p>
    <w:p w:rsidR="00F23170" w:rsidRPr="008A0A9E" w:rsidRDefault="00F23170" w:rsidP="005461EB">
      <w:pPr>
        <w:spacing w:after="120"/>
        <w:rPr>
          <w:rFonts w:ascii="Arial" w:hAnsi="Arial" w:cs="Arial"/>
          <w:bCs/>
          <w:sz w:val="22"/>
          <w:szCs w:val="22"/>
        </w:rPr>
      </w:pPr>
      <w:bookmarkStart w:id="0" w:name="supersedes"/>
      <w:bookmarkEnd w:id="0"/>
      <w:r w:rsidRPr="00587C46">
        <w:rPr>
          <w:rFonts w:ascii="Arial" w:hAnsi="Arial" w:cs="Arial"/>
          <w:b/>
          <w:bCs/>
          <w:sz w:val="22"/>
          <w:szCs w:val="22"/>
        </w:rPr>
        <w:t>SUPERSEDES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106"/>
        <w:gridCol w:w="3963"/>
      </w:tblGrid>
      <w:tr w:rsidR="00741D4E" w:rsidRPr="00321A85" w:rsidTr="00741D4E">
        <w:tc>
          <w:tcPr>
            <w:tcW w:w="1061" w:type="dxa"/>
            <w:shd w:val="clear" w:color="auto" w:fill="F2F2F2"/>
            <w:vAlign w:val="center"/>
          </w:tcPr>
          <w:p w:rsidR="00741D4E" w:rsidRPr="004A71CE" w:rsidRDefault="00741D4E" w:rsidP="005C7676">
            <w:pPr>
              <w:rPr>
                <w:rFonts w:ascii="Arial" w:hAnsi="Arial" w:cs="Arial"/>
                <w:b/>
                <w:sz w:val="20"/>
                <w:szCs w:val="20"/>
              </w:rPr>
            </w:pPr>
            <w:r w:rsidRPr="004A71CE">
              <w:rPr>
                <w:rFonts w:ascii="Arial" w:hAnsi="Arial" w:cs="Arial"/>
                <w:b/>
                <w:sz w:val="20"/>
                <w:szCs w:val="20"/>
              </w:rPr>
              <w:t>Version</w:t>
            </w:r>
          </w:p>
        </w:tc>
        <w:tc>
          <w:tcPr>
            <w:tcW w:w="1106" w:type="dxa"/>
            <w:shd w:val="clear" w:color="auto" w:fill="F2F2F2"/>
            <w:vAlign w:val="center"/>
          </w:tcPr>
          <w:p w:rsidR="00741D4E" w:rsidRPr="004A71CE" w:rsidRDefault="00741D4E" w:rsidP="005C7676">
            <w:pPr>
              <w:rPr>
                <w:rFonts w:ascii="Arial" w:hAnsi="Arial" w:cs="Arial"/>
                <w:b/>
                <w:sz w:val="20"/>
                <w:szCs w:val="20"/>
              </w:rPr>
            </w:pPr>
            <w:r>
              <w:rPr>
                <w:rFonts w:ascii="Arial" w:hAnsi="Arial" w:cs="Arial"/>
                <w:b/>
                <w:sz w:val="20"/>
                <w:szCs w:val="20"/>
              </w:rPr>
              <w:t>Date</w:t>
            </w:r>
          </w:p>
        </w:tc>
        <w:tc>
          <w:tcPr>
            <w:tcW w:w="3963" w:type="dxa"/>
            <w:shd w:val="clear" w:color="auto" w:fill="F2F2F2"/>
            <w:vAlign w:val="center"/>
          </w:tcPr>
          <w:p w:rsidR="00741D4E" w:rsidRPr="004A71CE" w:rsidRDefault="00741D4E" w:rsidP="005C7676">
            <w:pPr>
              <w:rPr>
                <w:rFonts w:ascii="Arial" w:hAnsi="Arial" w:cs="Arial"/>
                <w:b/>
                <w:sz w:val="20"/>
                <w:szCs w:val="20"/>
              </w:rPr>
            </w:pPr>
            <w:r w:rsidRPr="004A71CE">
              <w:rPr>
                <w:rFonts w:ascii="Arial" w:hAnsi="Arial" w:cs="Arial"/>
                <w:b/>
                <w:sz w:val="20"/>
                <w:szCs w:val="20"/>
              </w:rPr>
              <w:t>Description</w:t>
            </w:r>
          </w:p>
        </w:tc>
      </w:tr>
      <w:tr w:rsidR="00741D4E" w:rsidRPr="00321A85" w:rsidTr="00741D4E">
        <w:tc>
          <w:tcPr>
            <w:tcW w:w="1061" w:type="dxa"/>
            <w:vAlign w:val="center"/>
          </w:tcPr>
          <w:p w:rsidR="00741D4E" w:rsidRPr="004A71CE" w:rsidRDefault="00741D4E" w:rsidP="005C7676">
            <w:pPr>
              <w:rPr>
                <w:rFonts w:ascii="Arial" w:hAnsi="Arial" w:cs="Arial"/>
                <w:sz w:val="20"/>
                <w:szCs w:val="20"/>
              </w:rPr>
            </w:pPr>
            <w:r>
              <w:rPr>
                <w:rFonts w:ascii="Arial" w:hAnsi="Arial" w:cs="Arial"/>
                <w:sz w:val="20"/>
                <w:szCs w:val="20"/>
              </w:rPr>
              <w:t>1.0</w:t>
            </w:r>
          </w:p>
        </w:tc>
        <w:tc>
          <w:tcPr>
            <w:tcW w:w="1106" w:type="dxa"/>
            <w:vAlign w:val="center"/>
          </w:tcPr>
          <w:p w:rsidR="00741D4E" w:rsidRPr="004A71CE" w:rsidRDefault="00741D4E" w:rsidP="005C7676">
            <w:pPr>
              <w:rPr>
                <w:rFonts w:ascii="Arial" w:hAnsi="Arial" w:cs="Arial"/>
                <w:sz w:val="20"/>
                <w:szCs w:val="20"/>
              </w:rPr>
            </w:pPr>
            <w:r>
              <w:rPr>
                <w:rFonts w:ascii="Arial" w:hAnsi="Arial" w:cs="Arial"/>
                <w:sz w:val="20"/>
                <w:szCs w:val="20"/>
              </w:rPr>
              <w:t>6/1/84</w:t>
            </w:r>
          </w:p>
        </w:tc>
        <w:tc>
          <w:tcPr>
            <w:tcW w:w="3963" w:type="dxa"/>
            <w:vAlign w:val="center"/>
          </w:tcPr>
          <w:p w:rsidR="00741D4E" w:rsidRPr="004A71CE" w:rsidRDefault="00741D4E" w:rsidP="005C7676">
            <w:pPr>
              <w:rPr>
                <w:rFonts w:ascii="Arial" w:hAnsi="Arial" w:cs="Arial"/>
                <w:sz w:val="20"/>
                <w:szCs w:val="20"/>
              </w:rPr>
            </w:pPr>
            <w:r>
              <w:rPr>
                <w:rFonts w:ascii="Arial" w:hAnsi="Arial" w:cs="Arial"/>
                <w:sz w:val="20"/>
                <w:szCs w:val="20"/>
              </w:rPr>
              <w:t>Supersedes document 7015-1</w:t>
            </w:r>
          </w:p>
        </w:tc>
      </w:tr>
      <w:tr w:rsidR="00741D4E" w:rsidRPr="00321A85" w:rsidTr="00741D4E">
        <w:tc>
          <w:tcPr>
            <w:tcW w:w="1061" w:type="dxa"/>
            <w:vAlign w:val="center"/>
          </w:tcPr>
          <w:p w:rsidR="00741D4E" w:rsidRPr="004A71CE" w:rsidRDefault="00294C2F" w:rsidP="005C7676">
            <w:pPr>
              <w:rPr>
                <w:rFonts w:ascii="Arial" w:hAnsi="Arial" w:cs="Arial"/>
                <w:sz w:val="20"/>
                <w:szCs w:val="20"/>
              </w:rPr>
            </w:pPr>
            <w:r>
              <w:rPr>
                <w:rFonts w:ascii="Arial" w:hAnsi="Arial" w:cs="Arial"/>
                <w:sz w:val="20"/>
                <w:szCs w:val="20"/>
              </w:rPr>
              <w:t>2.0</w:t>
            </w:r>
          </w:p>
        </w:tc>
        <w:tc>
          <w:tcPr>
            <w:tcW w:w="1106" w:type="dxa"/>
            <w:vAlign w:val="center"/>
          </w:tcPr>
          <w:p w:rsidR="00741D4E" w:rsidRPr="004A71CE" w:rsidRDefault="00294C2F" w:rsidP="005C7676">
            <w:pPr>
              <w:rPr>
                <w:rFonts w:ascii="Arial" w:hAnsi="Arial" w:cs="Arial"/>
                <w:sz w:val="20"/>
                <w:szCs w:val="20"/>
              </w:rPr>
            </w:pPr>
            <w:r>
              <w:rPr>
                <w:rFonts w:ascii="Arial" w:hAnsi="Arial" w:cs="Arial"/>
                <w:sz w:val="20"/>
                <w:szCs w:val="20"/>
              </w:rPr>
              <w:t>3/20/02</w:t>
            </w:r>
          </w:p>
        </w:tc>
        <w:tc>
          <w:tcPr>
            <w:tcW w:w="3963" w:type="dxa"/>
            <w:vAlign w:val="center"/>
          </w:tcPr>
          <w:p w:rsidR="00741D4E" w:rsidRPr="004A71CE" w:rsidRDefault="00294C2F" w:rsidP="005C7676">
            <w:pPr>
              <w:rPr>
                <w:rFonts w:ascii="Arial" w:hAnsi="Arial" w:cs="Arial"/>
                <w:sz w:val="20"/>
                <w:szCs w:val="20"/>
              </w:rPr>
            </w:pPr>
            <w:r>
              <w:rPr>
                <w:rFonts w:ascii="Arial" w:hAnsi="Arial" w:cs="Arial"/>
                <w:sz w:val="20"/>
                <w:szCs w:val="20"/>
              </w:rPr>
              <w:t>Revision</w:t>
            </w:r>
            <w:r w:rsidR="007C21F0">
              <w:rPr>
                <w:rFonts w:ascii="Arial" w:hAnsi="Arial" w:cs="Arial"/>
                <w:sz w:val="20"/>
                <w:szCs w:val="20"/>
              </w:rPr>
              <w:t xml:space="preserve"> supersedes #7015-1</w:t>
            </w:r>
          </w:p>
        </w:tc>
      </w:tr>
    </w:tbl>
    <w:p w:rsidR="00F23170" w:rsidRPr="00587C46" w:rsidRDefault="00F23170" w:rsidP="00F23170">
      <w:pPr>
        <w:rPr>
          <w:rFonts w:ascii="Arial" w:hAnsi="Arial" w:cs="Arial"/>
          <w:b/>
          <w:bCs/>
          <w:sz w:val="22"/>
          <w:szCs w:val="22"/>
        </w:rPr>
      </w:pPr>
    </w:p>
    <w:p w:rsidR="00F23170" w:rsidRPr="00587C46" w:rsidRDefault="00F23170" w:rsidP="00151482">
      <w:pPr>
        <w:spacing w:after="120"/>
        <w:rPr>
          <w:rFonts w:ascii="Arial" w:hAnsi="Arial" w:cs="Arial"/>
          <w:b/>
          <w:sz w:val="22"/>
          <w:szCs w:val="22"/>
        </w:rPr>
      </w:pPr>
      <w:bookmarkStart w:id="1" w:name="contact"/>
      <w:bookmarkEnd w:id="1"/>
      <w:r w:rsidRPr="00587C46">
        <w:rPr>
          <w:rFonts w:ascii="Arial" w:hAnsi="Arial" w:cs="Arial"/>
          <w:b/>
          <w:sz w:val="22"/>
          <w:szCs w:val="22"/>
        </w:rPr>
        <w:t>CONTACT</w:t>
      </w:r>
    </w:p>
    <w:p w:rsidR="004307D8" w:rsidRDefault="00E9551E" w:rsidP="002620D1">
      <w:pPr>
        <w:rPr>
          <w:rFonts w:ascii="Arial" w:hAnsi="Arial" w:cs="Arial"/>
          <w:sz w:val="22"/>
          <w:szCs w:val="22"/>
        </w:rPr>
      </w:pPr>
      <w:r>
        <w:rPr>
          <w:rFonts w:ascii="Arial" w:hAnsi="Arial" w:cs="Arial"/>
          <w:sz w:val="22"/>
          <w:szCs w:val="22"/>
        </w:rPr>
        <w:t>Cheryl Boldt</w:t>
      </w:r>
      <w:r w:rsidR="00845D19">
        <w:rPr>
          <w:rFonts w:ascii="Arial" w:hAnsi="Arial" w:cs="Arial"/>
          <w:sz w:val="22"/>
          <w:szCs w:val="22"/>
        </w:rPr>
        <w:t xml:space="preserve"> | </w:t>
      </w:r>
      <w:r>
        <w:rPr>
          <w:rFonts w:ascii="Arial" w:hAnsi="Arial" w:cs="Arial"/>
          <w:sz w:val="22"/>
          <w:szCs w:val="22"/>
        </w:rPr>
        <w:t>Management Analyst</w:t>
      </w:r>
      <w:r w:rsidR="00064BF1">
        <w:rPr>
          <w:rFonts w:ascii="Arial" w:hAnsi="Arial" w:cs="Arial"/>
          <w:sz w:val="22"/>
          <w:szCs w:val="22"/>
        </w:rPr>
        <w:br/>
        <w:t>E</w:t>
      </w:r>
      <w:r w:rsidR="004307D8">
        <w:rPr>
          <w:rFonts w:ascii="Arial" w:hAnsi="Arial" w:cs="Arial"/>
          <w:sz w:val="22"/>
          <w:szCs w:val="22"/>
        </w:rPr>
        <w:t>mployment Security Department</w:t>
      </w:r>
    </w:p>
    <w:p w:rsidR="004307D8" w:rsidRDefault="00480C38" w:rsidP="002620D1">
      <w:pPr>
        <w:rPr>
          <w:rFonts w:ascii="Arial" w:hAnsi="Arial" w:cs="Arial"/>
          <w:sz w:val="22"/>
          <w:szCs w:val="22"/>
        </w:rPr>
      </w:pPr>
      <w:r>
        <w:rPr>
          <w:rFonts w:ascii="Arial" w:hAnsi="Arial" w:cs="Arial"/>
          <w:sz w:val="22"/>
          <w:szCs w:val="22"/>
        </w:rPr>
        <w:t>Employment &amp; Career Development Division</w:t>
      </w:r>
      <w:r w:rsidR="00FB74EC" w:rsidRPr="00587C46">
        <w:rPr>
          <w:rFonts w:ascii="Arial" w:hAnsi="Arial" w:cs="Arial"/>
          <w:sz w:val="22"/>
          <w:szCs w:val="22"/>
        </w:rPr>
        <w:br/>
        <w:t>P.O. Box 9046 – MS 6000</w:t>
      </w:r>
      <w:r w:rsidR="00064BF1">
        <w:rPr>
          <w:rFonts w:ascii="Arial" w:hAnsi="Arial" w:cs="Arial"/>
          <w:sz w:val="22"/>
          <w:szCs w:val="22"/>
        </w:rPr>
        <w:t xml:space="preserve"> | </w:t>
      </w:r>
      <w:r w:rsidR="00FB74EC" w:rsidRPr="00587C46">
        <w:rPr>
          <w:rFonts w:ascii="Arial" w:hAnsi="Arial" w:cs="Arial"/>
          <w:sz w:val="22"/>
          <w:szCs w:val="22"/>
        </w:rPr>
        <w:t>Olympia, WA  98507-9046</w:t>
      </w:r>
      <w:r w:rsidR="00FB74EC" w:rsidRPr="00587C46">
        <w:rPr>
          <w:rFonts w:ascii="Arial" w:hAnsi="Arial" w:cs="Arial"/>
          <w:sz w:val="22"/>
          <w:szCs w:val="22"/>
        </w:rPr>
        <w:br/>
        <w:t xml:space="preserve">Email: </w:t>
      </w:r>
      <w:hyperlink r:id="rId11" w:history="1">
        <w:r w:rsidR="00E9551E" w:rsidRPr="00791850">
          <w:rPr>
            <w:rStyle w:val="Hyperlink"/>
            <w:rFonts w:ascii="Arial" w:hAnsi="Arial" w:cs="Arial"/>
            <w:sz w:val="22"/>
            <w:szCs w:val="22"/>
          </w:rPr>
          <w:t>cboldt@esd.wa.gov</w:t>
        </w:r>
      </w:hyperlink>
      <w:r w:rsidR="004307D8">
        <w:rPr>
          <w:rFonts w:ascii="Arial" w:hAnsi="Arial" w:cs="Arial"/>
          <w:sz w:val="22"/>
          <w:szCs w:val="22"/>
        </w:rPr>
        <w:t xml:space="preserve"> </w:t>
      </w:r>
    </w:p>
    <w:p w:rsidR="00EF4A5F" w:rsidRPr="002620D1" w:rsidRDefault="0022347E" w:rsidP="002620D1">
      <w:pPr>
        <w:rPr>
          <w:rFonts w:ascii="Arial" w:hAnsi="Arial" w:cs="Arial"/>
          <w:sz w:val="22"/>
          <w:szCs w:val="22"/>
        </w:rPr>
      </w:pPr>
      <w:r>
        <w:rPr>
          <w:rFonts w:ascii="Arial" w:hAnsi="Arial" w:cs="Arial"/>
          <w:sz w:val="22"/>
          <w:szCs w:val="22"/>
        </w:rPr>
        <w:t>Telephone: (360) 486-5942</w:t>
      </w:r>
    </w:p>
    <w:sectPr w:rsidR="00EF4A5F" w:rsidRPr="002620D1" w:rsidSect="00FB74EC">
      <w:headerReference w:type="default" r:id="rId12"/>
      <w:pgSz w:w="12240" w:h="15840" w:code="1"/>
      <w:pgMar w:top="1152" w:right="1296" w:bottom="1152"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97" w:rsidRDefault="00484497">
      <w:r>
        <w:separator/>
      </w:r>
    </w:p>
  </w:endnote>
  <w:endnote w:type="continuationSeparator" w:id="0">
    <w:p w:rsidR="00484497" w:rsidRDefault="00484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97" w:rsidRDefault="00484497">
      <w:r>
        <w:separator/>
      </w:r>
    </w:p>
  </w:footnote>
  <w:footnote w:type="continuationSeparator" w:id="0">
    <w:p w:rsidR="00484497" w:rsidRDefault="00484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jc w:val="center"/>
      <w:tblBorders>
        <w:top w:val="single" w:sz="12" w:space="0" w:color="999999"/>
        <w:bottom w:val="single" w:sz="12" w:space="0" w:color="999999"/>
      </w:tblBorders>
      <w:tblLayout w:type="fixed"/>
      <w:tblLook w:val="01E0"/>
    </w:tblPr>
    <w:tblGrid>
      <w:gridCol w:w="2705"/>
      <w:gridCol w:w="2452"/>
      <w:gridCol w:w="4680"/>
    </w:tblGrid>
    <w:tr w:rsidR="00484497" w:rsidRPr="000559CC" w:rsidTr="00C47CC8">
      <w:trPr>
        <w:trHeight w:hRule="exact" w:val="144"/>
        <w:jc w:val="center"/>
      </w:trPr>
      <w:tc>
        <w:tcPr>
          <w:tcW w:w="2705" w:type="dxa"/>
          <w:vMerge w:val="restart"/>
          <w:vAlign w:val="center"/>
        </w:tcPr>
        <w:p w:rsidR="00484497" w:rsidRPr="00587C46" w:rsidRDefault="002D5C74" w:rsidP="00F23170">
          <w:pPr>
            <w:autoSpaceDE w:val="0"/>
            <w:autoSpaceDN w:val="0"/>
            <w:adjustRightInd w:val="0"/>
            <w:jc w:val="center"/>
            <w:rPr>
              <w:rFonts w:ascii="Arial" w:hAnsi="Arial" w:cs="Arial"/>
              <w:b/>
              <w:bCs/>
              <w:sz w:val="22"/>
              <w:szCs w:val="22"/>
            </w:rPr>
          </w:pPr>
          <w:sdt>
            <w:sdtPr>
              <w:rPr>
                <w:rFonts w:ascii="Arial" w:hAnsi="Arial" w:cs="Arial"/>
                <w:b/>
                <w:bCs/>
                <w:sz w:val="22"/>
                <w:szCs w:val="22"/>
              </w:rPr>
              <w:id w:val="1567556938"/>
              <w:docPartObj>
                <w:docPartGallery w:val="Watermarks"/>
                <w:docPartUnique/>
              </w:docPartObj>
            </w:sdtPr>
            <w:sdtContent/>
          </w:sdt>
          <w:r w:rsidR="00484497" w:rsidRPr="00587C46">
            <w:rPr>
              <w:noProof/>
              <w:sz w:val="22"/>
              <w:szCs w:val="22"/>
            </w:rPr>
            <w:drawing>
              <wp:inline distT="0" distB="0" distL="0" distR="0">
                <wp:extent cx="1181100" cy="443903"/>
                <wp:effectExtent l="19050" t="0" r="0"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
                        <a:srcRect/>
                        <a:stretch>
                          <a:fillRect/>
                        </a:stretch>
                      </pic:blipFill>
                      <pic:spPr bwMode="auto">
                        <a:xfrm>
                          <a:off x="0" y="0"/>
                          <a:ext cx="1181100" cy="443903"/>
                        </a:xfrm>
                        <a:prstGeom prst="rect">
                          <a:avLst/>
                        </a:prstGeom>
                        <a:noFill/>
                        <a:ln w="9525">
                          <a:noFill/>
                          <a:miter lim="800000"/>
                          <a:headEnd/>
                          <a:tailEnd/>
                        </a:ln>
                      </pic:spPr>
                    </pic:pic>
                  </a:graphicData>
                </a:graphic>
              </wp:inline>
            </w:drawing>
          </w:r>
        </w:p>
      </w:tc>
      <w:tc>
        <w:tcPr>
          <w:tcW w:w="7132" w:type="dxa"/>
          <w:gridSpan w:val="2"/>
          <w:vAlign w:val="center"/>
        </w:tcPr>
        <w:p w:rsidR="00484497" w:rsidRPr="00587C46" w:rsidRDefault="00484497" w:rsidP="00F23170">
          <w:pPr>
            <w:autoSpaceDE w:val="0"/>
            <w:autoSpaceDN w:val="0"/>
            <w:adjustRightInd w:val="0"/>
            <w:rPr>
              <w:rFonts w:ascii="Arial" w:hAnsi="Arial" w:cs="Arial"/>
              <w:b/>
              <w:bCs/>
              <w:sz w:val="22"/>
              <w:szCs w:val="22"/>
            </w:rPr>
          </w:pPr>
        </w:p>
      </w:tc>
    </w:tr>
    <w:tr w:rsidR="00484497" w:rsidRPr="000559CC" w:rsidTr="00C47CC8">
      <w:trPr>
        <w:jc w:val="center"/>
      </w:trPr>
      <w:tc>
        <w:tcPr>
          <w:tcW w:w="2705" w:type="dxa"/>
          <w:vMerge/>
        </w:tcPr>
        <w:p w:rsidR="00484497" w:rsidRPr="00587C46" w:rsidRDefault="00484497" w:rsidP="00F23170">
          <w:pPr>
            <w:autoSpaceDE w:val="0"/>
            <w:autoSpaceDN w:val="0"/>
            <w:adjustRightInd w:val="0"/>
            <w:jc w:val="center"/>
            <w:rPr>
              <w:sz w:val="22"/>
              <w:szCs w:val="22"/>
            </w:rPr>
          </w:pPr>
        </w:p>
      </w:tc>
      <w:tc>
        <w:tcPr>
          <w:tcW w:w="7132" w:type="dxa"/>
          <w:gridSpan w:val="2"/>
          <w:vAlign w:val="center"/>
        </w:tcPr>
        <w:p w:rsidR="00484497" w:rsidRPr="00587C46" w:rsidRDefault="00484497" w:rsidP="00F23170">
          <w:pPr>
            <w:autoSpaceDE w:val="0"/>
            <w:autoSpaceDN w:val="0"/>
            <w:adjustRightInd w:val="0"/>
            <w:rPr>
              <w:rFonts w:ascii="Arial" w:hAnsi="Arial" w:cs="Arial"/>
              <w:b/>
              <w:bCs/>
              <w:sz w:val="22"/>
              <w:szCs w:val="22"/>
            </w:rPr>
          </w:pPr>
          <w:r w:rsidRPr="00587C46">
            <w:rPr>
              <w:rFonts w:ascii="Arial" w:hAnsi="Arial" w:cs="Arial"/>
              <w:b/>
              <w:bCs/>
              <w:sz w:val="22"/>
              <w:szCs w:val="22"/>
            </w:rPr>
            <w:t>Employment &amp; Career Development Division</w:t>
          </w:r>
        </w:p>
      </w:tc>
    </w:tr>
    <w:tr w:rsidR="00484497" w:rsidRPr="000559CC" w:rsidTr="00C47CC8">
      <w:trPr>
        <w:jc w:val="center"/>
      </w:trPr>
      <w:tc>
        <w:tcPr>
          <w:tcW w:w="2705" w:type="dxa"/>
          <w:vMerge/>
        </w:tcPr>
        <w:p w:rsidR="00484497" w:rsidRPr="00587C46" w:rsidRDefault="00484497" w:rsidP="00F23170">
          <w:pPr>
            <w:autoSpaceDE w:val="0"/>
            <w:autoSpaceDN w:val="0"/>
            <w:adjustRightInd w:val="0"/>
            <w:rPr>
              <w:rFonts w:ascii="Arial" w:hAnsi="Arial" w:cs="Arial"/>
              <w:b/>
              <w:bCs/>
              <w:sz w:val="22"/>
              <w:szCs w:val="22"/>
            </w:rPr>
          </w:pPr>
        </w:p>
      </w:tc>
      <w:tc>
        <w:tcPr>
          <w:tcW w:w="7132" w:type="dxa"/>
          <w:gridSpan w:val="2"/>
        </w:tcPr>
        <w:p w:rsidR="00484497" w:rsidRPr="007C21F0" w:rsidRDefault="00484497" w:rsidP="00F23170">
          <w:pPr>
            <w:autoSpaceDE w:val="0"/>
            <w:autoSpaceDN w:val="0"/>
            <w:adjustRightInd w:val="0"/>
            <w:rPr>
              <w:rFonts w:ascii="Arial" w:hAnsi="Arial" w:cs="Arial"/>
              <w:bCs/>
              <w:sz w:val="22"/>
              <w:szCs w:val="22"/>
            </w:rPr>
          </w:pPr>
          <w:r w:rsidRPr="007C21F0">
            <w:rPr>
              <w:rFonts w:ascii="Arial" w:hAnsi="Arial" w:cs="Arial"/>
              <w:b/>
              <w:bCs/>
              <w:sz w:val="22"/>
              <w:szCs w:val="22"/>
            </w:rPr>
            <w:t>Code:</w:t>
          </w:r>
          <w:r w:rsidRPr="007C21F0">
            <w:rPr>
              <w:rFonts w:ascii="Arial" w:hAnsi="Arial" w:cs="Arial"/>
              <w:bCs/>
              <w:sz w:val="22"/>
              <w:szCs w:val="22"/>
            </w:rPr>
            <w:t xml:space="preserve"> LX-Po</w:t>
          </w:r>
          <w:r w:rsidR="007C21F0">
            <w:rPr>
              <w:rFonts w:ascii="Arial" w:hAnsi="Arial" w:cs="Arial"/>
              <w:bCs/>
              <w:sz w:val="22"/>
              <w:szCs w:val="22"/>
            </w:rPr>
            <w:t>licy-WA_AK</w:t>
          </w:r>
          <w:r w:rsidR="00C47CC8" w:rsidRPr="007C21F0">
            <w:rPr>
              <w:rFonts w:ascii="Arial" w:hAnsi="Arial" w:cs="Arial"/>
              <w:bCs/>
              <w:sz w:val="22"/>
              <w:szCs w:val="22"/>
            </w:rPr>
            <w:t xml:space="preserve"> Extended Worker Recruitment-4006-0690</w:t>
          </w:r>
        </w:p>
      </w:tc>
    </w:tr>
    <w:tr w:rsidR="00484497" w:rsidRPr="000559CC" w:rsidTr="00C47CC8">
      <w:trPr>
        <w:trHeight w:val="225"/>
        <w:jc w:val="center"/>
      </w:trPr>
      <w:tc>
        <w:tcPr>
          <w:tcW w:w="2705" w:type="dxa"/>
          <w:vMerge/>
        </w:tcPr>
        <w:p w:rsidR="00484497" w:rsidRPr="00587C46" w:rsidRDefault="00484497" w:rsidP="00F23170">
          <w:pPr>
            <w:autoSpaceDE w:val="0"/>
            <w:autoSpaceDN w:val="0"/>
            <w:adjustRightInd w:val="0"/>
            <w:rPr>
              <w:rFonts w:ascii="Arial" w:hAnsi="Arial" w:cs="Arial"/>
              <w:b/>
              <w:bCs/>
              <w:sz w:val="22"/>
              <w:szCs w:val="22"/>
            </w:rPr>
          </w:pPr>
        </w:p>
      </w:tc>
      <w:tc>
        <w:tcPr>
          <w:tcW w:w="7132" w:type="dxa"/>
          <w:gridSpan w:val="2"/>
        </w:tcPr>
        <w:p w:rsidR="00484497" w:rsidRPr="00587C46" w:rsidRDefault="00484497" w:rsidP="00F23170">
          <w:pPr>
            <w:autoSpaceDE w:val="0"/>
            <w:autoSpaceDN w:val="0"/>
            <w:adjustRightInd w:val="0"/>
            <w:rPr>
              <w:rFonts w:ascii="Cambria" w:hAnsi="Cambria" w:cs="Arial"/>
              <w:b/>
              <w:bCs/>
              <w:sz w:val="22"/>
              <w:szCs w:val="22"/>
            </w:rPr>
          </w:pPr>
          <w:r w:rsidRPr="00587C46">
            <w:rPr>
              <w:rFonts w:ascii="Arial" w:hAnsi="Arial" w:cs="Arial"/>
              <w:b/>
              <w:bCs/>
              <w:sz w:val="22"/>
              <w:szCs w:val="22"/>
            </w:rPr>
            <w:t>Page:</w:t>
          </w:r>
          <w:r w:rsidRPr="00587C46">
            <w:rPr>
              <w:rFonts w:ascii="Cambria" w:hAnsi="Cambria" w:cs="Arial"/>
              <w:b/>
              <w:bCs/>
              <w:sz w:val="22"/>
              <w:szCs w:val="22"/>
            </w:rPr>
            <w:t xml:space="preserve"> </w:t>
          </w:r>
          <w:r w:rsidR="002D5C74"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PAGE </w:instrText>
          </w:r>
          <w:r w:rsidR="002D5C74" w:rsidRPr="00587C46">
            <w:rPr>
              <w:rStyle w:val="PageNumber"/>
              <w:rFonts w:ascii="Arial" w:hAnsi="Arial" w:cs="Arial"/>
              <w:b/>
              <w:sz w:val="22"/>
              <w:szCs w:val="22"/>
            </w:rPr>
            <w:fldChar w:fldCharType="separate"/>
          </w:r>
          <w:r w:rsidR="007C21F0">
            <w:rPr>
              <w:rStyle w:val="PageNumber"/>
              <w:rFonts w:ascii="Arial" w:hAnsi="Arial" w:cs="Arial"/>
              <w:b/>
              <w:noProof/>
              <w:sz w:val="22"/>
              <w:szCs w:val="22"/>
            </w:rPr>
            <w:t>2</w:t>
          </w:r>
          <w:r w:rsidR="002D5C74" w:rsidRPr="00587C46">
            <w:rPr>
              <w:rStyle w:val="PageNumber"/>
              <w:rFonts w:ascii="Arial" w:hAnsi="Arial" w:cs="Arial"/>
              <w:b/>
              <w:sz w:val="22"/>
              <w:szCs w:val="22"/>
            </w:rPr>
            <w:fldChar w:fldCharType="end"/>
          </w:r>
          <w:r w:rsidRPr="00587C46">
            <w:rPr>
              <w:rStyle w:val="PageNumber"/>
              <w:rFonts w:ascii="Cambria" w:hAnsi="Cambria" w:cs="Arial"/>
              <w:b/>
              <w:sz w:val="22"/>
              <w:szCs w:val="22"/>
            </w:rPr>
            <w:t xml:space="preserve"> </w:t>
          </w:r>
          <w:r w:rsidRPr="00587C46">
            <w:rPr>
              <w:rStyle w:val="PageNumber"/>
              <w:rFonts w:ascii="Arial" w:hAnsi="Arial" w:cs="Arial"/>
              <w:b/>
              <w:sz w:val="22"/>
              <w:szCs w:val="22"/>
            </w:rPr>
            <w:t>of</w:t>
          </w:r>
          <w:r w:rsidRPr="00587C46">
            <w:rPr>
              <w:rStyle w:val="PageNumber"/>
              <w:rFonts w:ascii="Cambria" w:hAnsi="Cambria" w:cs="Arial"/>
              <w:b/>
              <w:sz w:val="22"/>
              <w:szCs w:val="22"/>
            </w:rPr>
            <w:t xml:space="preserve"> </w:t>
          </w:r>
          <w:r w:rsidR="002D5C74"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NUMPAGES </w:instrText>
          </w:r>
          <w:r w:rsidR="002D5C74" w:rsidRPr="00587C46">
            <w:rPr>
              <w:rStyle w:val="PageNumber"/>
              <w:rFonts w:ascii="Arial" w:hAnsi="Arial" w:cs="Arial"/>
              <w:b/>
              <w:sz w:val="22"/>
              <w:szCs w:val="22"/>
            </w:rPr>
            <w:fldChar w:fldCharType="separate"/>
          </w:r>
          <w:r w:rsidR="007C21F0">
            <w:rPr>
              <w:rStyle w:val="PageNumber"/>
              <w:rFonts w:ascii="Arial" w:hAnsi="Arial" w:cs="Arial"/>
              <w:b/>
              <w:noProof/>
              <w:sz w:val="22"/>
              <w:szCs w:val="22"/>
            </w:rPr>
            <w:t>2</w:t>
          </w:r>
          <w:r w:rsidR="002D5C74" w:rsidRPr="00587C46">
            <w:rPr>
              <w:rStyle w:val="PageNumber"/>
              <w:rFonts w:ascii="Arial" w:hAnsi="Arial" w:cs="Arial"/>
              <w:b/>
              <w:sz w:val="22"/>
              <w:szCs w:val="22"/>
            </w:rPr>
            <w:fldChar w:fldCharType="end"/>
          </w:r>
          <w:r>
            <w:rPr>
              <w:rFonts w:ascii="Cambria" w:hAnsi="Cambria" w:cs="Arial"/>
              <w:b/>
              <w:bCs/>
              <w:sz w:val="22"/>
              <w:szCs w:val="22"/>
            </w:rPr>
            <w:t xml:space="preserve"> | </w:t>
          </w:r>
          <w:r>
            <w:rPr>
              <w:rFonts w:ascii="Arial" w:hAnsi="Arial" w:cs="Arial"/>
              <w:b/>
              <w:bCs/>
              <w:sz w:val="22"/>
              <w:szCs w:val="22"/>
            </w:rPr>
            <w:t>Date: March 20, 2002 (Revised)</w:t>
          </w:r>
        </w:p>
      </w:tc>
    </w:tr>
    <w:tr w:rsidR="00484497" w:rsidRPr="000559CC" w:rsidTr="00C47CC8">
      <w:trPr>
        <w:trHeight w:hRule="exact" w:val="144"/>
        <w:jc w:val="center"/>
      </w:trPr>
      <w:tc>
        <w:tcPr>
          <w:tcW w:w="2705" w:type="dxa"/>
          <w:vMerge/>
        </w:tcPr>
        <w:p w:rsidR="00484497" w:rsidRPr="000559CC" w:rsidRDefault="00484497" w:rsidP="00F23170">
          <w:pPr>
            <w:autoSpaceDE w:val="0"/>
            <w:autoSpaceDN w:val="0"/>
            <w:adjustRightInd w:val="0"/>
            <w:rPr>
              <w:rFonts w:ascii="Arial" w:hAnsi="Arial" w:cs="Arial"/>
              <w:b/>
              <w:bCs/>
            </w:rPr>
          </w:pPr>
        </w:p>
      </w:tc>
      <w:tc>
        <w:tcPr>
          <w:tcW w:w="2452" w:type="dxa"/>
        </w:tcPr>
        <w:p w:rsidR="00484497" w:rsidRPr="000559CC" w:rsidRDefault="00484497" w:rsidP="00F23170">
          <w:pPr>
            <w:autoSpaceDE w:val="0"/>
            <w:autoSpaceDN w:val="0"/>
            <w:adjustRightInd w:val="0"/>
            <w:rPr>
              <w:rFonts w:ascii="Arial" w:hAnsi="Arial" w:cs="Arial"/>
              <w:b/>
              <w:bCs/>
            </w:rPr>
          </w:pPr>
        </w:p>
      </w:tc>
      <w:tc>
        <w:tcPr>
          <w:tcW w:w="4680" w:type="dxa"/>
        </w:tcPr>
        <w:p w:rsidR="00484497" w:rsidRPr="000559CC" w:rsidRDefault="00484497" w:rsidP="00F23170">
          <w:pPr>
            <w:autoSpaceDE w:val="0"/>
            <w:autoSpaceDN w:val="0"/>
            <w:adjustRightInd w:val="0"/>
            <w:rPr>
              <w:rFonts w:ascii="Arial" w:hAnsi="Arial" w:cs="Arial"/>
              <w:b/>
              <w:bCs/>
            </w:rPr>
          </w:pPr>
        </w:p>
      </w:tc>
    </w:tr>
  </w:tbl>
  <w:p w:rsidR="00484497" w:rsidRDefault="004844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B67"/>
    <w:multiLevelType w:val="hybridMultilevel"/>
    <w:tmpl w:val="CAAC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5F6"/>
    <w:multiLevelType w:val="hybridMultilevel"/>
    <w:tmpl w:val="4044FF9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034480D"/>
    <w:multiLevelType w:val="hybridMultilevel"/>
    <w:tmpl w:val="C6903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C32FA"/>
    <w:multiLevelType w:val="multilevel"/>
    <w:tmpl w:val="409E6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3153AE"/>
    <w:multiLevelType w:val="hybridMultilevel"/>
    <w:tmpl w:val="FD1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14701"/>
    <w:multiLevelType w:val="hybridMultilevel"/>
    <w:tmpl w:val="6C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4F3"/>
    <w:multiLevelType w:val="hybridMultilevel"/>
    <w:tmpl w:val="C8527A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F671B0B"/>
    <w:multiLevelType w:val="hybridMultilevel"/>
    <w:tmpl w:val="4A68E564"/>
    <w:lvl w:ilvl="0" w:tplc="7D9429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F64E6D"/>
    <w:multiLevelType w:val="multilevel"/>
    <w:tmpl w:val="1DD862C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63C96"/>
    <w:multiLevelType w:val="hybridMultilevel"/>
    <w:tmpl w:val="7F8EE440"/>
    <w:lvl w:ilvl="0" w:tplc="00010409">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3">
    <w:nsid w:val="4E7F334E"/>
    <w:multiLevelType w:val="multilevel"/>
    <w:tmpl w:val="E75415C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5F7B2BA3"/>
    <w:multiLevelType w:val="multilevel"/>
    <w:tmpl w:val="785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9489E"/>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BE70F1"/>
    <w:multiLevelType w:val="hybridMultilevel"/>
    <w:tmpl w:val="3B4C3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BB831F7"/>
    <w:multiLevelType w:val="hybridMultilevel"/>
    <w:tmpl w:val="2ABA6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CB152D"/>
    <w:multiLevelType w:val="hybridMultilevel"/>
    <w:tmpl w:val="3BB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A0379"/>
    <w:multiLevelType w:val="multilevel"/>
    <w:tmpl w:val="409E6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701B31"/>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17780A"/>
    <w:multiLevelType w:val="multilevel"/>
    <w:tmpl w:val="BA3A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E266E3"/>
    <w:multiLevelType w:val="hybridMultilevel"/>
    <w:tmpl w:val="24BA4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EA4CA6"/>
    <w:multiLevelType w:val="multilevel"/>
    <w:tmpl w:val="2DDCB7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014B22"/>
    <w:multiLevelType w:val="multilevel"/>
    <w:tmpl w:val="4CC2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B12DB5"/>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466D3F"/>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743BD5"/>
    <w:multiLevelType w:val="hybridMultilevel"/>
    <w:tmpl w:val="35848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16"/>
  </w:num>
  <w:num w:numId="4">
    <w:abstractNumId w:val="15"/>
  </w:num>
  <w:num w:numId="5">
    <w:abstractNumId w:val="12"/>
  </w:num>
  <w:num w:numId="6">
    <w:abstractNumId w:val="5"/>
  </w:num>
  <w:num w:numId="7">
    <w:abstractNumId w:val="1"/>
  </w:num>
  <w:num w:numId="8">
    <w:abstractNumId w:val="27"/>
  </w:num>
  <w:num w:numId="9">
    <w:abstractNumId w:val="25"/>
  </w:num>
  <w:num w:numId="10">
    <w:abstractNumId w:val="10"/>
  </w:num>
  <w:num w:numId="11">
    <w:abstractNumId w:val="3"/>
  </w:num>
  <w:num w:numId="12">
    <w:abstractNumId w:val="2"/>
  </w:num>
  <w:num w:numId="13">
    <w:abstractNumId w:val="21"/>
  </w:num>
  <w:num w:numId="14">
    <w:abstractNumId w:val="0"/>
  </w:num>
  <w:num w:numId="15">
    <w:abstractNumId w:val="6"/>
  </w:num>
  <w:num w:numId="16">
    <w:abstractNumId w:val="19"/>
  </w:num>
  <w:num w:numId="17">
    <w:abstractNumId w:val="7"/>
  </w:num>
  <w:num w:numId="18">
    <w:abstractNumId w:val="17"/>
  </w:num>
  <w:num w:numId="19">
    <w:abstractNumId w:val="23"/>
  </w:num>
  <w:num w:numId="20">
    <w:abstractNumId w:val="18"/>
  </w:num>
  <w:num w:numId="21">
    <w:abstractNumId w:val="4"/>
  </w:num>
  <w:num w:numId="22">
    <w:abstractNumId w:val="13"/>
  </w:num>
  <w:num w:numId="23">
    <w:abstractNumId w:val="26"/>
  </w:num>
  <w:num w:numId="24">
    <w:abstractNumId w:val="11"/>
  </w:num>
  <w:num w:numId="25">
    <w:abstractNumId w:val="22"/>
  </w:num>
  <w:num w:numId="26">
    <w:abstractNumId w:val="20"/>
  </w:num>
  <w:num w:numId="27">
    <w:abstractNumId w:val="31"/>
  </w:num>
  <w:num w:numId="28">
    <w:abstractNumId w:val="29"/>
  </w:num>
  <w:num w:numId="29">
    <w:abstractNumId w:val="30"/>
  </w:num>
  <w:num w:numId="30">
    <w:abstractNumId w:val="8"/>
  </w:num>
  <w:num w:numId="31">
    <w:abstractNumId w:val="2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097F9B"/>
    <w:rsid w:val="00020671"/>
    <w:rsid w:val="00041599"/>
    <w:rsid w:val="00064BF1"/>
    <w:rsid w:val="00097F9B"/>
    <w:rsid w:val="000E3A4D"/>
    <w:rsid w:val="000F4269"/>
    <w:rsid w:val="000F74A2"/>
    <w:rsid w:val="00127E39"/>
    <w:rsid w:val="00137494"/>
    <w:rsid w:val="00151482"/>
    <w:rsid w:val="001563C7"/>
    <w:rsid w:val="0017517C"/>
    <w:rsid w:val="001B2547"/>
    <w:rsid w:val="001D527B"/>
    <w:rsid w:val="00212DAD"/>
    <w:rsid w:val="0022347E"/>
    <w:rsid w:val="002260C9"/>
    <w:rsid w:val="00233EC4"/>
    <w:rsid w:val="002620D1"/>
    <w:rsid w:val="002836F9"/>
    <w:rsid w:val="00294C2F"/>
    <w:rsid w:val="00297E11"/>
    <w:rsid w:val="002A2EFA"/>
    <w:rsid w:val="002D5C74"/>
    <w:rsid w:val="002E0E65"/>
    <w:rsid w:val="002E630B"/>
    <w:rsid w:val="002F5017"/>
    <w:rsid w:val="00311657"/>
    <w:rsid w:val="003E13E0"/>
    <w:rsid w:val="004307D8"/>
    <w:rsid w:val="00450F72"/>
    <w:rsid w:val="004511D8"/>
    <w:rsid w:val="00480B35"/>
    <w:rsid w:val="00480C38"/>
    <w:rsid w:val="00484497"/>
    <w:rsid w:val="00486AA2"/>
    <w:rsid w:val="004A4FF9"/>
    <w:rsid w:val="004B028F"/>
    <w:rsid w:val="004B263E"/>
    <w:rsid w:val="0053770F"/>
    <w:rsid w:val="005461EB"/>
    <w:rsid w:val="0055744E"/>
    <w:rsid w:val="00587C46"/>
    <w:rsid w:val="00596B4D"/>
    <w:rsid w:val="005A0AC7"/>
    <w:rsid w:val="005B1E73"/>
    <w:rsid w:val="005C1987"/>
    <w:rsid w:val="00614014"/>
    <w:rsid w:val="006403B8"/>
    <w:rsid w:val="0064332D"/>
    <w:rsid w:val="0067344E"/>
    <w:rsid w:val="006753F8"/>
    <w:rsid w:val="00676BD6"/>
    <w:rsid w:val="00723C01"/>
    <w:rsid w:val="007352A7"/>
    <w:rsid w:val="00741AAF"/>
    <w:rsid w:val="00741D4E"/>
    <w:rsid w:val="00765954"/>
    <w:rsid w:val="007C21F0"/>
    <w:rsid w:val="0081127B"/>
    <w:rsid w:val="008144CA"/>
    <w:rsid w:val="008324C1"/>
    <w:rsid w:val="008448B2"/>
    <w:rsid w:val="00845D19"/>
    <w:rsid w:val="00852C37"/>
    <w:rsid w:val="00861FE1"/>
    <w:rsid w:val="00862485"/>
    <w:rsid w:val="008711B3"/>
    <w:rsid w:val="008A0A9E"/>
    <w:rsid w:val="008B3F1F"/>
    <w:rsid w:val="008C338C"/>
    <w:rsid w:val="008E6077"/>
    <w:rsid w:val="008E7478"/>
    <w:rsid w:val="009035C7"/>
    <w:rsid w:val="0091460D"/>
    <w:rsid w:val="00965B60"/>
    <w:rsid w:val="009840F0"/>
    <w:rsid w:val="009951A3"/>
    <w:rsid w:val="00996383"/>
    <w:rsid w:val="009A5CE7"/>
    <w:rsid w:val="009F6EF6"/>
    <w:rsid w:val="00A06B81"/>
    <w:rsid w:val="00A1272E"/>
    <w:rsid w:val="00A470F5"/>
    <w:rsid w:val="00A874B6"/>
    <w:rsid w:val="00A91FBB"/>
    <w:rsid w:val="00AC4DCA"/>
    <w:rsid w:val="00AC5620"/>
    <w:rsid w:val="00AD5B09"/>
    <w:rsid w:val="00AF20ED"/>
    <w:rsid w:val="00B41F29"/>
    <w:rsid w:val="00B615D6"/>
    <w:rsid w:val="00B65A80"/>
    <w:rsid w:val="00B91592"/>
    <w:rsid w:val="00BE7FCA"/>
    <w:rsid w:val="00BF6418"/>
    <w:rsid w:val="00C254E0"/>
    <w:rsid w:val="00C46301"/>
    <w:rsid w:val="00C467DB"/>
    <w:rsid w:val="00C47CC8"/>
    <w:rsid w:val="00C575C4"/>
    <w:rsid w:val="00C64A8B"/>
    <w:rsid w:val="00C73CFC"/>
    <w:rsid w:val="00CB059A"/>
    <w:rsid w:val="00D238D4"/>
    <w:rsid w:val="00D46F47"/>
    <w:rsid w:val="00D82514"/>
    <w:rsid w:val="00DA1A37"/>
    <w:rsid w:val="00DA4F67"/>
    <w:rsid w:val="00DD5359"/>
    <w:rsid w:val="00DF046B"/>
    <w:rsid w:val="00DF4892"/>
    <w:rsid w:val="00E036DF"/>
    <w:rsid w:val="00E16720"/>
    <w:rsid w:val="00E67D0A"/>
    <w:rsid w:val="00E71D01"/>
    <w:rsid w:val="00E9551E"/>
    <w:rsid w:val="00EA01FC"/>
    <w:rsid w:val="00EE1AFC"/>
    <w:rsid w:val="00EF4A5F"/>
    <w:rsid w:val="00F046C8"/>
    <w:rsid w:val="00F23170"/>
    <w:rsid w:val="00F24521"/>
    <w:rsid w:val="00F5126A"/>
    <w:rsid w:val="00F5531C"/>
    <w:rsid w:val="00F6084F"/>
    <w:rsid w:val="00F72A0A"/>
    <w:rsid w:val="00F9581E"/>
    <w:rsid w:val="00FB02BD"/>
    <w:rsid w:val="00FB74EC"/>
    <w:rsid w:val="00FC65F0"/>
    <w:rsid w:val="00FC6891"/>
    <w:rsid w:val="00FC7141"/>
    <w:rsid w:val="00FE0556"/>
    <w:rsid w:val="00FE2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CommentReference">
    <w:name w:val="annotation reference"/>
    <w:basedOn w:val="DefaultParagraphFont"/>
    <w:semiHidden/>
    <w:rsid w:val="00311EC8"/>
    <w:rPr>
      <w:sz w:val="16"/>
      <w:szCs w:val="16"/>
    </w:rPr>
  </w:style>
  <w:style w:type="paragraph" w:styleId="CommentText">
    <w:name w:val="annotation text"/>
    <w:basedOn w:val="Normal"/>
    <w:semiHidden/>
    <w:rsid w:val="00311EC8"/>
    <w:rPr>
      <w:sz w:val="20"/>
      <w:szCs w:val="20"/>
    </w:rPr>
  </w:style>
  <w:style w:type="paragraph" w:styleId="CommentSubject">
    <w:name w:val="annotation subject"/>
    <w:basedOn w:val="CommentText"/>
    <w:next w:val="CommentText"/>
    <w:semiHidden/>
    <w:rsid w:val="00311EC8"/>
    <w:rPr>
      <w:b/>
      <w:bCs/>
    </w:rPr>
  </w:style>
  <w:style w:type="character" w:styleId="Hyperlink">
    <w:name w:val="Hyperlink"/>
    <w:basedOn w:val="DefaultParagraphFont"/>
    <w:rsid w:val="008144CA"/>
    <w:rPr>
      <w:color w:val="0000FF"/>
      <w:u w:val="single"/>
    </w:rPr>
  </w:style>
  <w:style w:type="character" w:styleId="FollowedHyperlink">
    <w:name w:val="FollowedHyperlink"/>
    <w:basedOn w:val="DefaultParagraphFont"/>
    <w:rsid w:val="00AC5620"/>
    <w:rPr>
      <w:color w:val="800080" w:themeColor="followedHyperlink"/>
      <w:u w:val="single"/>
    </w:rPr>
  </w:style>
  <w:style w:type="paragraph" w:styleId="ListParagraph">
    <w:name w:val="List Paragraph"/>
    <w:basedOn w:val="Normal"/>
    <w:uiPriority w:val="34"/>
    <w:qFormat/>
    <w:rsid w:val="00F046C8"/>
    <w:pPr>
      <w:ind w:left="720"/>
      <w:contextualSpacing/>
    </w:pPr>
  </w:style>
  <w:style w:type="paragraph" w:customStyle="1" w:styleId="Default">
    <w:name w:val="Default"/>
    <w:rsid w:val="003E13E0"/>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C73C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oldt@esd.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26EE-5138-45A9-B495-AE33FB415F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A36BED7-1BEB-4856-AD83-786C3A3EB615}">
  <ds:schemaRefs>
    <ds:schemaRef ds:uri="http://schemas.microsoft.com/sharepoint/v3/contenttype/forms"/>
  </ds:schemaRefs>
</ds:datastoreItem>
</file>

<file path=customXml/itemProps3.xml><?xml version="1.0" encoding="utf-8"?>
<ds:datastoreItem xmlns:ds="http://schemas.openxmlformats.org/officeDocument/2006/customXml" ds:itemID="{DAD9EFF0-4796-4066-B313-91DCD968E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7C0645-BFFB-4AC9-B180-BCA29DDA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UI Reemployment Orientation</dc:subject>
  <dc:creator>Employment Security Department</dc:creator>
  <cp:keywords>UI Reemployment Orientation Policy</cp:keywords>
  <dc:description/>
  <cp:lastModifiedBy>mmcmurry</cp:lastModifiedBy>
  <cp:revision>9</cp:revision>
  <cp:lastPrinted>2010-04-26T20:58:00Z</cp:lastPrinted>
  <dcterms:created xsi:type="dcterms:W3CDTF">2011-02-18T22:06:00Z</dcterms:created>
  <dcterms:modified xsi:type="dcterms:W3CDTF">2011-03-02T18:42:00Z</dcterms:modified>
  <cp:category>UIR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