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08" w:rsidRPr="00410F08" w:rsidRDefault="00410F08" w:rsidP="00410F08">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410F08">
        <w:rPr>
          <w:rFonts w:eastAsia="Times New Roman" w:cs="Arial"/>
          <w:b/>
          <w:bCs/>
          <w:color w:val="FF0000"/>
          <w:szCs w:val="24"/>
        </w:rPr>
        <w:t>Workforce</w:t>
      </w:r>
      <w:bookmarkEnd w:id="0"/>
      <w:r w:rsidRPr="00410F08">
        <w:rPr>
          <w:rFonts w:eastAsia="Times New Roman" w:cs="Arial"/>
          <w:b/>
          <w:bCs/>
          <w:color w:val="FF0000"/>
          <w:szCs w:val="24"/>
        </w:rPr>
        <w:t xml:space="preserve"> Investment Act Title-B</w:t>
      </w:r>
      <w:r w:rsidRPr="00410F08">
        <w:rPr>
          <w:rFonts w:eastAsia="Times New Roman" w:cs="Arial"/>
          <w:b/>
          <w:bCs/>
          <w:szCs w:val="24"/>
        </w:rPr>
        <w:br/>
      </w:r>
      <w:r w:rsidRPr="00410F08">
        <w:rPr>
          <w:rFonts w:eastAsia="Times New Roman" w:cs="Arial"/>
          <w:b/>
          <w:bCs/>
          <w:sz w:val="20"/>
          <w:szCs w:val="20"/>
        </w:rPr>
        <w:t>Washington State Policies </w:t>
      </w:r>
    </w:p>
    <w:p w:rsidR="00410F08" w:rsidRPr="00410F08" w:rsidRDefault="00410F08" w:rsidP="00410F08">
      <w:pPr>
        <w:spacing w:before="100" w:beforeAutospacing="1" w:after="100" w:afterAutospacing="1" w:line="240" w:lineRule="auto"/>
        <w:jc w:val="center"/>
        <w:rPr>
          <w:rFonts w:ascii="Times New Roman" w:eastAsia="Times New Roman" w:hAnsi="Times New Roman" w:cs="Times New Roman"/>
          <w:b/>
          <w:bCs/>
          <w:szCs w:val="24"/>
        </w:rPr>
      </w:pPr>
      <w:r w:rsidRPr="00410F08">
        <w:rPr>
          <w:rFonts w:eastAsia="Times New Roman" w:cs="Arial"/>
          <w:b/>
          <w:noProof/>
          <w:sz w:val="20"/>
          <w:szCs w:val="20"/>
        </w:rPr>
        <mc:AlternateContent>
          <mc:Choice Requires="wps">
            <w:drawing>
              <wp:inline distT="0" distB="0" distL="0" distR="0">
                <wp:extent cx="5441950" cy="38100"/>
                <wp:effectExtent l="0" t="0" r="0" b="0"/>
                <wp:docPr id="1" name="Rectangle 1" descr="http://www.wa.gov/esd/1stop/policies/documents/archive/3910.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7A9F6" id="Rectangle 1" o:spid="_x0000_s1026" alt="http://www.wa.gov/esd/1stop/policies/documents/archive/3910.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" filled="f" stroked="f">
                <o:lock v:ext="edit" aspectratio="t"/>
                <w10:anchorlock/>
              </v:rect>
            </w:pict>
          </mc:Fallback>
        </mc:AlternateContent>
      </w:r>
      <w:r w:rsidRPr="00410F08">
        <w:rPr>
          <w:rFonts w:eastAsia="Times New Roman" w:cs="Arial"/>
          <w:b/>
          <w:bCs/>
          <w:sz w:val="20"/>
          <w:szCs w:val="20"/>
        </w:rPr>
        <w:br/>
      </w:r>
      <w:r w:rsidRPr="00410F08">
        <w:rPr>
          <w:rFonts w:eastAsia="Times New Roman" w:cs="Arial"/>
          <w:b/>
          <w:bCs/>
          <w:sz w:val="20"/>
          <w:szCs w:val="20"/>
        </w:rPr>
        <w:br/>
        <w:t>SECTION F: Dislocated Worker Services</w:t>
      </w:r>
    </w:p>
    <w:p w:rsidR="00410F08" w:rsidRPr="00410F08" w:rsidRDefault="00410F08" w:rsidP="00410F08">
      <w:pPr>
        <w:spacing w:before="100" w:beforeAutospacing="1" w:after="100" w:afterAutospacing="1" w:line="240" w:lineRule="auto"/>
        <w:rPr>
          <w:rFonts w:ascii="Times New Roman" w:eastAsia="Times New Roman" w:hAnsi="Times New Roman" w:cs="Times New Roman"/>
          <w:i/>
          <w:iCs/>
          <w:szCs w:val="24"/>
        </w:rPr>
      </w:pPr>
      <w:r w:rsidRPr="00410F08">
        <w:rPr>
          <w:rFonts w:eastAsia="Times New Roman" w:cs="Arial"/>
          <w:i/>
          <w:iCs/>
          <w:sz w:val="20"/>
          <w:szCs w:val="20"/>
        </w:rPr>
        <w:t xml:space="preserve">Grantees, </w:t>
      </w:r>
      <w:proofErr w:type="spellStart"/>
      <w:r w:rsidRPr="00410F08">
        <w:rPr>
          <w:rFonts w:eastAsia="Times New Roman" w:cs="Arial"/>
          <w:i/>
          <w:iCs/>
          <w:sz w:val="20"/>
          <w:szCs w:val="20"/>
        </w:rPr>
        <w:t>subrecipients</w:t>
      </w:r>
      <w:proofErr w:type="spellEnd"/>
      <w:r w:rsidRPr="00410F08">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requirements in laws and rules (Revised Code of Washington and Washington Administrative Code), Office of Financial Management (OFM) policies and the Washington State WIA policies.</w:t>
      </w:r>
      <w:hyperlink r:id="rId5" w:anchor="BACKGROUND" w:history="1">
        <w:r w:rsidRPr="00410F08">
          <w:rPr>
            <w:rFonts w:eastAsia="Times New Roman" w:cs="Arial"/>
            <w:i/>
            <w:iCs/>
            <w:color w:val="0000FF"/>
            <w:sz w:val="20"/>
            <w:szCs w:val="20"/>
            <w:u w:val="single"/>
          </w:rPr>
          <w:br/>
        </w:r>
      </w:hyperlink>
    </w:p>
    <w:p w:rsidR="00410F08" w:rsidRPr="00410F08" w:rsidRDefault="00410F08" w:rsidP="00410F08">
      <w:pPr>
        <w:spacing w:before="100" w:beforeAutospacing="1" w:after="100" w:afterAutospacing="1" w:line="240" w:lineRule="auto"/>
        <w:jc w:val="center"/>
        <w:rPr>
          <w:rFonts w:ascii="Times New Roman" w:eastAsia="Times New Roman" w:hAnsi="Times New Roman" w:cs="Times New Roman"/>
          <w:szCs w:val="24"/>
        </w:rPr>
      </w:pPr>
      <w:hyperlink r:id="rId6" w:anchor="BACKGROUND" w:history="1">
        <w:r w:rsidRPr="00410F08">
          <w:rPr>
            <w:rFonts w:eastAsia="Times New Roman" w:cs="Arial"/>
            <w:color w:val="0000FF"/>
            <w:sz w:val="20"/>
            <w:szCs w:val="20"/>
            <w:u w:val="single"/>
          </w:rPr>
          <w:t xml:space="preserve">BACKGROUND </w:t>
        </w:r>
      </w:hyperlink>
      <w:r w:rsidRPr="00410F08">
        <w:rPr>
          <w:rFonts w:eastAsia="Times New Roman" w:cs="Arial"/>
          <w:sz w:val="20"/>
          <w:szCs w:val="20"/>
        </w:rPr>
        <w:t xml:space="preserve">| </w:t>
      </w:r>
      <w:hyperlink r:id="rId7" w:anchor="POLICY" w:history="1">
        <w:r w:rsidRPr="00410F08">
          <w:rPr>
            <w:rFonts w:eastAsia="Times New Roman" w:cs="Arial"/>
            <w:color w:val="0000FF"/>
            <w:sz w:val="20"/>
            <w:szCs w:val="20"/>
            <w:u w:val="single"/>
          </w:rPr>
          <w:t>POLICY |</w:t>
        </w:r>
      </w:hyperlink>
      <w:r w:rsidRPr="00410F08">
        <w:rPr>
          <w:rFonts w:eastAsia="Times New Roman" w:cs="Arial"/>
          <w:sz w:val="20"/>
          <w:szCs w:val="20"/>
        </w:rPr>
        <w:t xml:space="preserve"> </w:t>
      </w:r>
      <w:hyperlink r:id="rId8" w:anchor="DEFINITIONS" w:history="1">
        <w:r w:rsidRPr="00410F08">
          <w:rPr>
            <w:rFonts w:eastAsia="Times New Roman" w:cs="Arial"/>
            <w:color w:val="0000FF"/>
            <w:sz w:val="20"/>
            <w:szCs w:val="20"/>
            <w:u w:val="single"/>
          </w:rPr>
          <w:t>DEFINITIONS</w:t>
        </w:r>
        <w:r w:rsidRPr="00410F08">
          <w:rPr>
            <w:rFonts w:eastAsia="Times New Roman" w:cs="Arial"/>
            <w:color w:val="0000FF"/>
            <w:sz w:val="20"/>
            <w:szCs w:val="20"/>
            <w:u w:val="single"/>
          </w:rPr>
          <w:br/>
        </w:r>
      </w:hyperlink>
      <w:hyperlink r:id="rId9" w:anchor="REFERENCES" w:history="1">
        <w:r w:rsidRPr="00410F08">
          <w:rPr>
            <w:rFonts w:eastAsia="Times New Roman" w:cs="Arial"/>
            <w:color w:val="0000FF"/>
            <w:sz w:val="20"/>
            <w:szCs w:val="20"/>
            <w:u w:val="single"/>
          </w:rPr>
          <w:t>REFERENCES</w:t>
        </w:r>
      </w:hyperlink>
      <w:r w:rsidRPr="00410F08">
        <w:rPr>
          <w:rFonts w:eastAsia="Times New Roman" w:cs="Arial"/>
          <w:sz w:val="20"/>
          <w:szCs w:val="20"/>
        </w:rPr>
        <w:t xml:space="preserve"> | </w:t>
      </w:r>
      <w:hyperlink r:id="rId10" w:anchor="SUPERSEDES" w:history="1">
        <w:r w:rsidRPr="00410F08">
          <w:rPr>
            <w:rFonts w:eastAsia="Times New Roman" w:cs="Arial"/>
            <w:color w:val="0000FF"/>
            <w:sz w:val="20"/>
            <w:szCs w:val="20"/>
            <w:u w:val="single"/>
          </w:rPr>
          <w:t xml:space="preserve">SUPERSEDES </w:t>
        </w:r>
      </w:hyperlink>
      <w:r w:rsidRPr="00410F08">
        <w:rPr>
          <w:rFonts w:eastAsia="Times New Roman" w:cs="Arial"/>
          <w:sz w:val="20"/>
          <w:szCs w:val="20"/>
        </w:rPr>
        <w:t xml:space="preserve">| </w:t>
      </w:r>
      <w:hyperlink r:id="rId11" w:anchor="WEBSITE" w:history="1">
        <w:r w:rsidRPr="00410F08">
          <w:rPr>
            <w:rFonts w:eastAsia="Times New Roman" w:cs="Arial"/>
            <w:color w:val="0000FF"/>
            <w:sz w:val="20"/>
            <w:szCs w:val="20"/>
            <w:u w:val="single"/>
          </w:rPr>
          <w:t xml:space="preserve">WEBSITE </w:t>
        </w:r>
      </w:hyperlink>
      <w:r w:rsidRPr="00410F08">
        <w:rPr>
          <w:rFonts w:eastAsia="Times New Roman" w:cs="Arial"/>
          <w:sz w:val="20"/>
          <w:szCs w:val="20"/>
        </w:rPr>
        <w:t xml:space="preserve">| </w:t>
      </w:r>
      <w:hyperlink r:id="rId12" w:anchor="INQUIRIES" w:history="1">
        <w:r w:rsidRPr="00410F08">
          <w:rPr>
            <w:rFonts w:eastAsia="Times New Roman" w:cs="Arial"/>
            <w:color w:val="0000FF"/>
            <w:sz w:val="20"/>
            <w:szCs w:val="20"/>
            <w:u w:val="single"/>
          </w:rPr>
          <w:t>INQUIRIES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1"/>
        <w:gridCol w:w="6319"/>
      </w:tblGrid>
      <w:tr w:rsidR="00410F08" w:rsidRPr="00410F08">
        <w:trPr>
          <w:trHeight w:val="12"/>
          <w:tblCellSpacing w:w="15" w:type="dxa"/>
        </w:trPr>
        <w:tc>
          <w:tcPr>
            <w:tcW w:w="1600" w:type="pct"/>
            <w:vAlign w:val="center"/>
            <w:hideMark/>
          </w:tcPr>
          <w:p w:rsidR="00410F08" w:rsidRPr="00410F08" w:rsidRDefault="00410F08" w:rsidP="00410F08">
            <w:p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b/>
                <w:bCs/>
                <w:sz w:val="20"/>
                <w:szCs w:val="20"/>
              </w:rPr>
              <w:t>EFFECTIVE DATE:</w:t>
            </w:r>
            <w:r w:rsidRPr="00410F08">
              <w:rPr>
                <w:rFonts w:ascii="Times New Roman" w:eastAsia="Times New Roman" w:hAnsi="Times New Roman" w:cs="Times New Roman"/>
                <w:szCs w:val="24"/>
              </w:rPr>
              <w:br/>
            </w:r>
            <w:r w:rsidRPr="00410F08">
              <w:rPr>
                <w:rFonts w:eastAsia="Times New Roman" w:cs="Arial"/>
                <w:b/>
                <w:bCs/>
                <w:sz w:val="20"/>
                <w:szCs w:val="20"/>
              </w:rPr>
              <w:t>WIA POLICY NUMBER:</w:t>
            </w:r>
            <w:r w:rsidRPr="00410F08">
              <w:rPr>
                <w:rFonts w:eastAsia="Times New Roman" w:cs="Arial"/>
                <w:b/>
                <w:bCs/>
                <w:sz w:val="20"/>
                <w:szCs w:val="20"/>
              </w:rPr>
              <w:br/>
              <w:t>SUBJECT:</w:t>
            </w:r>
          </w:p>
        </w:tc>
        <w:tc>
          <w:tcPr>
            <w:tcW w:w="3350" w:type="pct"/>
            <w:vAlign w:val="center"/>
            <w:hideMark/>
          </w:tcPr>
          <w:p w:rsidR="00410F08" w:rsidRPr="00410F08" w:rsidRDefault="00410F08" w:rsidP="00410F08">
            <w:p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t>January 4, 2002</w:t>
            </w:r>
            <w:r w:rsidRPr="00410F08">
              <w:rPr>
                <w:rFonts w:eastAsia="Times New Roman" w:cs="Arial"/>
                <w:sz w:val="20"/>
                <w:szCs w:val="20"/>
              </w:rPr>
              <w:br/>
              <w:t>3910</w:t>
            </w:r>
            <w:r w:rsidRPr="00410F08">
              <w:rPr>
                <w:rFonts w:eastAsia="Times New Roman" w:cs="Arial"/>
                <w:sz w:val="20"/>
                <w:szCs w:val="20"/>
              </w:rPr>
              <w:br/>
              <w:t>Public Information of Worker Adjustment and Retraining Notification Act (WARN) Notice</w:t>
            </w:r>
          </w:p>
        </w:tc>
      </w:tr>
    </w:tbl>
    <w:p w:rsidR="00410F08" w:rsidRPr="00410F08" w:rsidRDefault="00410F08" w:rsidP="00410F08">
      <w:p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br/>
      </w:r>
      <w:bookmarkStart w:id="2" w:name="BACKGROUND"/>
      <w:r w:rsidRPr="00410F08">
        <w:rPr>
          <w:rFonts w:eastAsia="Times New Roman" w:cs="Arial"/>
          <w:b/>
          <w:bCs/>
          <w:sz w:val="20"/>
          <w:szCs w:val="20"/>
        </w:rPr>
        <w:t>BACKGROUND</w:t>
      </w:r>
      <w:bookmarkEnd w:id="2"/>
    </w:p>
    <w:p w:rsidR="00410F08" w:rsidRPr="00410F08" w:rsidRDefault="00410F08" w:rsidP="00410F08">
      <w:p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t>The Worker Adjustment and Retraining Notification Act (WARN) of 1988 mandates that selective employers provide notification sixty (60) calendar days in advance of plant closings and mass layoffs to affected workers or their representatives (e.g., a labor union), the taxing governmental municipality, and the State’s Dislocated Worker Unit. Advance notice provides affected workers and their families the time to adjust to the prospective loss of employment, to seek and obtain reemployment, and if necessary, to enter training that will allow these workers to successfully compete in the labor market.</w:t>
      </w:r>
      <w:r w:rsidRPr="00410F08">
        <w:rPr>
          <w:rFonts w:eastAsia="Times New Roman" w:cs="Arial"/>
          <w:sz w:val="20"/>
          <w:szCs w:val="20"/>
        </w:rPr>
        <w:br/>
      </w:r>
      <w:r w:rsidRPr="00410F08">
        <w:rPr>
          <w:rFonts w:eastAsia="Times New Roman" w:cs="Arial"/>
          <w:sz w:val="20"/>
          <w:szCs w:val="20"/>
        </w:rPr>
        <w:br/>
      </w:r>
      <w:bookmarkStart w:id="3" w:name="POLICY"/>
      <w:r w:rsidRPr="00410F08">
        <w:rPr>
          <w:rFonts w:eastAsia="Times New Roman" w:cs="Arial"/>
          <w:b/>
          <w:bCs/>
          <w:sz w:val="20"/>
          <w:szCs w:val="20"/>
        </w:rPr>
        <w:t>POLICY</w:t>
      </w:r>
      <w:bookmarkEnd w:id="3"/>
      <w:r w:rsidRPr="00410F08">
        <w:rPr>
          <w:rFonts w:eastAsia="Times New Roman" w:cs="Arial"/>
          <w:b/>
          <w:bCs/>
          <w:sz w:val="20"/>
          <w:szCs w:val="20"/>
        </w:rPr>
        <w:br/>
      </w:r>
      <w:r w:rsidRPr="00410F08">
        <w:rPr>
          <w:rFonts w:eastAsia="Times New Roman" w:cs="Arial"/>
          <w:b/>
          <w:bCs/>
          <w:sz w:val="20"/>
          <w:szCs w:val="20"/>
        </w:rPr>
        <w:br/>
      </w:r>
      <w:proofErr w:type="gramStart"/>
      <w:r w:rsidRPr="00410F08">
        <w:rPr>
          <w:rFonts w:eastAsia="Times New Roman" w:cs="Arial"/>
          <w:sz w:val="20"/>
          <w:szCs w:val="20"/>
        </w:rPr>
        <w:t>The</w:t>
      </w:r>
      <w:proofErr w:type="gramEnd"/>
      <w:r w:rsidRPr="00410F08">
        <w:rPr>
          <w:rFonts w:eastAsia="Times New Roman" w:cs="Arial"/>
          <w:sz w:val="20"/>
          <w:szCs w:val="20"/>
        </w:rPr>
        <w:t xml:space="preserve"> following WARN information will be considered public information and disseminated upon request:</w:t>
      </w:r>
    </w:p>
    <w:p w:rsidR="00410F08" w:rsidRPr="00410F08" w:rsidRDefault="00410F08" w:rsidP="00410F08">
      <w:pPr>
        <w:numPr>
          <w:ilvl w:val="0"/>
          <w:numId w:val="1"/>
        </w:num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t>Employer’s name and address, and address of plant to be closed or location(s) where mass layoff will occur.</w:t>
      </w:r>
    </w:p>
    <w:p w:rsidR="00410F08" w:rsidRPr="00410F08" w:rsidRDefault="00410F08" w:rsidP="00410F08">
      <w:pPr>
        <w:numPr>
          <w:ilvl w:val="0"/>
          <w:numId w:val="1"/>
        </w:num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t>Expected date of the first separation.</w:t>
      </w:r>
    </w:p>
    <w:p w:rsidR="00410F08" w:rsidRPr="00410F08" w:rsidRDefault="00410F08" w:rsidP="00410F08">
      <w:pPr>
        <w:numPr>
          <w:ilvl w:val="0"/>
          <w:numId w:val="1"/>
        </w:num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t>Number of positions affected.</w:t>
      </w:r>
    </w:p>
    <w:p w:rsidR="00410F08" w:rsidRPr="00410F08" w:rsidRDefault="00410F08" w:rsidP="00410F08">
      <w:pPr>
        <w:numPr>
          <w:ilvl w:val="0"/>
          <w:numId w:val="1"/>
        </w:num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t>Permanent or temporary status.</w:t>
      </w:r>
    </w:p>
    <w:p w:rsidR="00410F08" w:rsidRPr="00410F08" w:rsidRDefault="00410F08" w:rsidP="00410F08">
      <w:pPr>
        <w:spacing w:before="100" w:beforeAutospacing="1" w:after="100" w:afterAutospacing="1" w:line="240" w:lineRule="auto"/>
        <w:rPr>
          <w:rFonts w:ascii="Times New Roman" w:eastAsia="Times New Roman" w:hAnsi="Times New Roman" w:cs="Times New Roman"/>
          <w:b/>
          <w:bCs/>
          <w:szCs w:val="24"/>
        </w:rPr>
      </w:pPr>
      <w:bookmarkStart w:id="4" w:name="DEFINITIONS"/>
      <w:r w:rsidRPr="00410F08">
        <w:rPr>
          <w:rFonts w:eastAsia="Times New Roman" w:cs="Arial"/>
          <w:b/>
          <w:bCs/>
          <w:sz w:val="20"/>
          <w:szCs w:val="20"/>
        </w:rPr>
        <w:t>DEFINITIONS</w:t>
      </w:r>
      <w:bookmarkEnd w:id="4"/>
    </w:p>
    <w:p w:rsidR="00410F08" w:rsidRPr="00410F08" w:rsidRDefault="00410F08" w:rsidP="00410F08">
      <w:p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t>None.</w:t>
      </w:r>
    </w:p>
    <w:p w:rsidR="00410F08" w:rsidRPr="00410F08" w:rsidRDefault="00410F08" w:rsidP="00410F08">
      <w:pPr>
        <w:spacing w:before="100" w:beforeAutospacing="1" w:after="100" w:afterAutospacing="1" w:line="240" w:lineRule="auto"/>
        <w:rPr>
          <w:rFonts w:ascii="Times New Roman" w:eastAsia="Times New Roman" w:hAnsi="Times New Roman" w:cs="Times New Roman"/>
          <w:b/>
          <w:bCs/>
          <w:szCs w:val="24"/>
        </w:rPr>
      </w:pPr>
      <w:bookmarkStart w:id="5" w:name="REFERENCES"/>
      <w:r w:rsidRPr="00410F08">
        <w:rPr>
          <w:rFonts w:eastAsia="Times New Roman" w:cs="Arial"/>
          <w:b/>
          <w:bCs/>
          <w:sz w:val="20"/>
          <w:szCs w:val="20"/>
        </w:rPr>
        <w:t>REFERENCES</w:t>
      </w:r>
      <w:bookmarkEnd w:id="5"/>
    </w:p>
    <w:p w:rsidR="00410F08" w:rsidRPr="00410F08" w:rsidRDefault="00410F08" w:rsidP="00410F08">
      <w:p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t>Public Law 100-379 (29 U.S.C. 2101, et seq.) The regulations appear in 20 CFR Part 639.</w:t>
      </w:r>
      <w:r w:rsidRPr="00410F08">
        <w:rPr>
          <w:rFonts w:ascii="Times New Roman" w:eastAsia="Times New Roman" w:hAnsi="Times New Roman" w:cs="Times New Roman"/>
          <w:b/>
          <w:bCs/>
          <w:szCs w:val="24"/>
        </w:rPr>
        <w:t xml:space="preserve"> </w:t>
      </w:r>
    </w:p>
    <w:p w:rsidR="00410F08" w:rsidRPr="00410F08" w:rsidRDefault="00410F08" w:rsidP="00410F08">
      <w:pPr>
        <w:spacing w:before="100" w:beforeAutospacing="1" w:after="100" w:afterAutospacing="1" w:line="240" w:lineRule="auto"/>
        <w:rPr>
          <w:rFonts w:ascii="Times New Roman" w:eastAsia="Times New Roman" w:hAnsi="Times New Roman" w:cs="Times New Roman"/>
          <w:szCs w:val="24"/>
        </w:rPr>
      </w:pPr>
      <w:bookmarkStart w:id="6" w:name="SUPERSEDES"/>
      <w:r w:rsidRPr="00410F08">
        <w:rPr>
          <w:rFonts w:eastAsia="Times New Roman" w:cs="Arial"/>
          <w:b/>
          <w:bCs/>
          <w:sz w:val="20"/>
          <w:szCs w:val="20"/>
        </w:rPr>
        <w:t>SUPERSEDES</w:t>
      </w:r>
      <w:bookmarkEnd w:id="6"/>
    </w:p>
    <w:p w:rsidR="00410F08" w:rsidRPr="00410F08" w:rsidRDefault="00410F08" w:rsidP="00410F08">
      <w:p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lastRenderedPageBreak/>
        <w:t>None. This communication is new.</w:t>
      </w:r>
    </w:p>
    <w:p w:rsidR="00410F08" w:rsidRPr="00410F08" w:rsidRDefault="00410F08" w:rsidP="00410F08">
      <w:pPr>
        <w:spacing w:before="100" w:beforeAutospacing="1" w:after="100" w:afterAutospacing="1" w:line="240" w:lineRule="auto"/>
        <w:rPr>
          <w:rFonts w:ascii="Times New Roman" w:eastAsia="Times New Roman" w:hAnsi="Times New Roman" w:cs="Times New Roman"/>
          <w:b/>
          <w:bCs/>
          <w:szCs w:val="24"/>
        </w:rPr>
      </w:pPr>
      <w:bookmarkStart w:id="7" w:name="WEBSITE"/>
      <w:r w:rsidRPr="00410F08">
        <w:rPr>
          <w:rFonts w:eastAsia="Times New Roman" w:cs="Arial"/>
          <w:b/>
          <w:bCs/>
          <w:sz w:val="20"/>
          <w:szCs w:val="20"/>
        </w:rPr>
        <w:t>WEBSITE</w:t>
      </w:r>
      <w:bookmarkEnd w:id="7"/>
    </w:p>
    <w:p w:rsidR="00410F08" w:rsidRPr="00410F08" w:rsidRDefault="00410F08" w:rsidP="00410F08">
      <w:pPr>
        <w:spacing w:before="100" w:beforeAutospacing="1" w:after="100" w:afterAutospacing="1" w:line="240" w:lineRule="auto"/>
        <w:rPr>
          <w:rFonts w:ascii="Times New Roman" w:eastAsia="Times New Roman" w:hAnsi="Times New Roman" w:cs="Times New Roman"/>
          <w:szCs w:val="24"/>
        </w:rPr>
      </w:pPr>
      <w:r w:rsidRPr="00410F08">
        <w:rPr>
          <w:rFonts w:eastAsia="Times New Roman" w:cs="Arial"/>
          <w:sz w:val="20"/>
          <w:szCs w:val="20"/>
        </w:rPr>
        <w:t>Not available at this time.</w:t>
      </w:r>
    </w:p>
    <w:p w:rsidR="00410F08" w:rsidRPr="00410F08" w:rsidRDefault="00410F08" w:rsidP="00410F08">
      <w:pPr>
        <w:spacing w:before="100" w:beforeAutospacing="1" w:after="100" w:afterAutospacing="1" w:line="240" w:lineRule="auto"/>
        <w:rPr>
          <w:rFonts w:ascii="Times New Roman" w:eastAsia="Times New Roman" w:hAnsi="Times New Roman" w:cs="Times New Roman"/>
          <w:b/>
          <w:bCs/>
          <w:szCs w:val="24"/>
        </w:rPr>
      </w:pPr>
      <w:r w:rsidRPr="00410F08">
        <w:rPr>
          <w:rFonts w:eastAsia="Times New Roman" w:cs="Arial"/>
          <w:b/>
          <w:bCs/>
          <w:sz w:val="20"/>
          <w:szCs w:val="20"/>
        </w:rPr>
        <w:t xml:space="preserve">DIRECT </w:t>
      </w:r>
      <w:bookmarkStart w:id="8" w:name="INQUIRIES"/>
      <w:r w:rsidRPr="00410F08">
        <w:rPr>
          <w:rFonts w:eastAsia="Times New Roman" w:cs="Arial"/>
          <w:b/>
          <w:bCs/>
          <w:sz w:val="20"/>
          <w:szCs w:val="20"/>
        </w:rPr>
        <w:t>INQUIRIES</w:t>
      </w:r>
      <w:bookmarkEnd w:id="8"/>
      <w:r w:rsidRPr="00410F08">
        <w:rPr>
          <w:rFonts w:eastAsia="Times New Roman" w:cs="Arial"/>
          <w:b/>
          <w:bCs/>
          <w:sz w:val="20"/>
          <w:szCs w:val="20"/>
        </w:rPr>
        <w:t xml:space="preserve"> TO:</w:t>
      </w:r>
    </w:p>
    <w:p w:rsidR="00F65F93" w:rsidRDefault="00410F08" w:rsidP="00410F08">
      <w:r w:rsidRPr="00410F08">
        <w:rPr>
          <w:rFonts w:eastAsia="Times New Roman" w:cs="Arial"/>
          <w:sz w:val="20"/>
          <w:szCs w:val="20"/>
        </w:rPr>
        <w:t>Dennis Birge</w:t>
      </w:r>
      <w:r w:rsidRPr="00410F08">
        <w:rPr>
          <w:rFonts w:ascii="Times New Roman" w:eastAsia="Times New Roman" w:hAnsi="Times New Roman" w:cs="Times New Roman"/>
          <w:szCs w:val="24"/>
        </w:rPr>
        <w:t xml:space="preserve"> </w:t>
      </w:r>
      <w:r w:rsidRPr="00410F08">
        <w:rPr>
          <w:rFonts w:ascii="Times New Roman" w:eastAsia="Times New Roman" w:hAnsi="Times New Roman" w:cs="Times New Roman"/>
          <w:b/>
          <w:bCs/>
          <w:szCs w:val="24"/>
        </w:rPr>
        <w:br/>
      </w:r>
      <w:r w:rsidRPr="00410F08">
        <w:rPr>
          <w:rFonts w:eastAsia="Times New Roman" w:cs="Arial"/>
          <w:sz w:val="20"/>
          <w:szCs w:val="20"/>
        </w:rPr>
        <w:t>WorkSource Standards &amp; Integration Division</w:t>
      </w:r>
      <w:r w:rsidRPr="00410F08">
        <w:rPr>
          <w:rFonts w:eastAsia="Times New Roman" w:cs="Arial"/>
          <w:sz w:val="20"/>
          <w:szCs w:val="20"/>
        </w:rPr>
        <w:br/>
        <w:t>Employment Security Department</w:t>
      </w:r>
      <w:r w:rsidRPr="00410F08">
        <w:rPr>
          <w:rFonts w:eastAsia="Times New Roman" w:cs="Arial"/>
          <w:sz w:val="20"/>
          <w:szCs w:val="20"/>
        </w:rPr>
        <w:br/>
        <w:t xml:space="preserve">P.O. Box </w:t>
      </w:r>
      <w:proofErr w:type="gramStart"/>
      <w:r w:rsidRPr="00410F08">
        <w:rPr>
          <w:rFonts w:eastAsia="Times New Roman" w:cs="Arial"/>
          <w:sz w:val="20"/>
          <w:szCs w:val="20"/>
        </w:rPr>
        <w:t>9046 ,</w:t>
      </w:r>
      <w:proofErr w:type="gramEnd"/>
      <w:r w:rsidRPr="00410F08">
        <w:rPr>
          <w:rFonts w:eastAsia="Times New Roman" w:cs="Arial"/>
          <w:sz w:val="20"/>
          <w:szCs w:val="20"/>
        </w:rPr>
        <w:t xml:space="preserve"> MS 6000</w:t>
      </w:r>
      <w:r w:rsidRPr="00410F08">
        <w:rPr>
          <w:rFonts w:eastAsia="Times New Roman" w:cs="Arial"/>
          <w:sz w:val="20"/>
          <w:szCs w:val="20"/>
        </w:rPr>
        <w:br/>
        <w:t>Olympia , WA      98507-9046  </w:t>
      </w:r>
      <w:r w:rsidRPr="00410F08">
        <w:rPr>
          <w:rFonts w:eastAsia="Times New Roman" w:cs="Arial"/>
          <w:sz w:val="20"/>
          <w:szCs w:val="20"/>
        </w:rPr>
        <w:br/>
        <w:t xml:space="preserve">E-Mail: </w:t>
      </w:r>
      <w:hyperlink r:id="rId13" w:history="1">
        <w:r w:rsidRPr="00410F08">
          <w:rPr>
            <w:rFonts w:eastAsia="Times New Roman" w:cs="Arial"/>
            <w:color w:val="0000FF"/>
            <w:sz w:val="20"/>
            <w:szCs w:val="20"/>
            <w:u w:val="single"/>
          </w:rPr>
          <w:t>dbirge@esd.wa.gov</w:t>
        </w:r>
      </w:hyperlink>
      <w:r w:rsidRPr="00410F08">
        <w:rPr>
          <w:rFonts w:eastAsia="Times New Roman" w:cs="Arial"/>
          <w:sz w:val="20"/>
          <w:szCs w:val="20"/>
        </w:rPr>
        <w:t> </w:t>
      </w:r>
      <w:hyperlink r:id="rId14" w:history="1">
        <w:r w:rsidRPr="00410F08">
          <w:rPr>
            <w:rFonts w:eastAsia="Times New Roman" w:cs="Arial"/>
            <w:color w:val="0000FF"/>
            <w:sz w:val="20"/>
            <w:szCs w:val="20"/>
            <w:u w:val="single"/>
          </w:rPr>
          <w:br/>
        </w:r>
      </w:hyperlink>
      <w:r w:rsidRPr="00410F08">
        <w:rPr>
          <w:rFonts w:eastAsia="Times New Roman" w:cs="Arial"/>
          <w:sz w:val="20"/>
          <w:szCs w:val="20"/>
        </w:rPr>
        <w:t>Telephone: (360) 725-9517</w:t>
      </w:r>
      <w:r w:rsidRPr="00410F08">
        <w:rPr>
          <w:rFonts w:eastAsia="Times New Roman" w:cs="Arial"/>
          <w:sz w:val="20"/>
          <w:szCs w:val="20"/>
        </w:rPr>
        <w:br/>
        <w:t>Fax: (360) 586-3739</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E7143"/>
    <w:multiLevelType w:val="multilevel"/>
    <w:tmpl w:val="CCD6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08"/>
    <w:rsid w:val="00410F08"/>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F8573-6B52-4E20-8333-01FE682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410F08"/>
    <w:rPr>
      <w:color w:val="0000FF"/>
      <w:u w:val="single"/>
    </w:rPr>
  </w:style>
  <w:style w:type="paragraph" w:styleId="NormalWeb">
    <w:name w:val="Normal (Web)"/>
    <w:basedOn w:val="Normal"/>
    <w:uiPriority w:val="99"/>
    <w:semiHidden/>
    <w:unhideWhenUsed/>
    <w:rsid w:val="00410F0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910.htm" TargetMode="External"/><Relationship Id="rId13" Type="http://schemas.openxmlformats.org/officeDocument/2006/relationships/hyperlink" Target="mailto:dbirge@esd.wa.gov"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a.gov/esd/1stop/policies/documents/archive/3910.htm" TargetMode="External"/><Relationship Id="rId12" Type="http://schemas.openxmlformats.org/officeDocument/2006/relationships/hyperlink" Target="http://www.wa.gov/esd/1stop/policies/documents/archive/3910.ht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gov/esd/1stop/policies/documents/archive/3910.htm" TargetMode="External"/><Relationship Id="rId11" Type="http://schemas.openxmlformats.org/officeDocument/2006/relationships/hyperlink" Target="http://www.wa.gov/esd/1stop/policies/documents/archive/3910.htm" TargetMode="External"/><Relationship Id="rId5" Type="http://schemas.openxmlformats.org/officeDocument/2006/relationships/hyperlink" Target="http://www.wa.gov/esd/1stop/policies/documents/archive/3910.htm" TargetMode="External"/><Relationship Id="rId15" Type="http://schemas.openxmlformats.org/officeDocument/2006/relationships/fontTable" Target="fontTable.xml"/><Relationship Id="rId10" Type="http://schemas.openxmlformats.org/officeDocument/2006/relationships/hyperlink" Target="http://www.wa.gov/esd/1stop/policies/documents/archive/3910.ht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wa.gov/esd/1stop/policies/documents/archive/3910.htm" TargetMode="External"/><Relationship Id="rId14" Type="http://schemas.openxmlformats.org/officeDocument/2006/relationships/hyperlink" Target="mailto:pdegon@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26137-BACF-4CA9-9D6B-FDD8BF603F96}"/>
</file>

<file path=customXml/itemProps2.xml><?xml version="1.0" encoding="utf-8"?>
<ds:datastoreItem xmlns:ds="http://schemas.openxmlformats.org/officeDocument/2006/customXml" ds:itemID="{9FF81277-A8C9-4744-B37B-5CC120A1E471}"/>
</file>

<file path=customXml/itemProps3.xml><?xml version="1.0" encoding="utf-8"?>
<ds:datastoreItem xmlns:ds="http://schemas.openxmlformats.org/officeDocument/2006/customXml" ds:itemID="{99653594-B238-4539-9E16-61A9B2284896}"/>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Company>ESD - State Of Washington</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2017-05-18T23:26:00Z</dcterms:created>
  <dcterms:modified xsi:type="dcterms:W3CDTF">2017-05-18T23:26:00Z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