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20" w:type="dxa"/>
        <w:tblCellSpacing w:w="15" w:type="dxa"/>
        <w:tblCellMar>
          <w:top w:w="48" w:type="dxa"/>
          <w:left w:w="48" w:type="dxa"/>
          <w:bottom w:w="48" w:type="dxa"/>
          <w:right w:w="48" w:type="dxa"/>
        </w:tblCellMar>
        <w:tblLook w:val="04A0" w:firstRow="1" w:lastRow="0" w:firstColumn="1" w:lastColumn="0" w:noHBand="0" w:noVBand="1"/>
      </w:tblPr>
      <w:tblGrid>
        <w:gridCol w:w="8661"/>
        <w:gridCol w:w="147"/>
      </w:tblGrid>
      <w:tr w:rsidR="00607C09" w:rsidRPr="00607C09" w:rsidTr="00607C09">
        <w:trPr>
          <w:tblCellSpacing w:w="15" w:type="dxa"/>
        </w:trPr>
        <w:tc>
          <w:tcPr>
            <w:tcW w:w="5000" w:type="pct"/>
            <w:vAlign w:val="center"/>
            <w:hideMark/>
          </w:tcPr>
          <w:p w:rsidR="00607C09" w:rsidRPr="00607C09" w:rsidRDefault="00607C09" w:rsidP="00607C09">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bookmarkStart w:id="1" w:name="_GoBack"/>
            <w:bookmarkEnd w:id="1"/>
            <w:r w:rsidRPr="00607C09">
              <w:rPr>
                <w:rFonts w:eastAsia="Times New Roman" w:cs="Arial"/>
                <w:b/>
                <w:bCs/>
                <w:color w:val="FF0000"/>
                <w:szCs w:val="24"/>
              </w:rPr>
              <w:t>Workforce</w:t>
            </w:r>
            <w:bookmarkEnd w:id="0"/>
            <w:r w:rsidRPr="00607C09">
              <w:rPr>
                <w:rFonts w:eastAsia="Times New Roman" w:cs="Arial"/>
                <w:b/>
                <w:bCs/>
                <w:color w:val="FF0000"/>
                <w:szCs w:val="24"/>
              </w:rPr>
              <w:t xml:space="preserve"> Investment Act Title I-B</w:t>
            </w:r>
            <w:r w:rsidRPr="00607C09">
              <w:rPr>
                <w:rFonts w:eastAsia="Times New Roman" w:cs="Arial"/>
                <w:b/>
                <w:bCs/>
                <w:sz w:val="20"/>
                <w:szCs w:val="20"/>
              </w:rPr>
              <w:br/>
              <w:t>Washington State Policies</w:t>
            </w:r>
          </w:p>
          <w:p w:rsidR="00607C09" w:rsidRPr="00607C09" w:rsidRDefault="00607C09" w:rsidP="00607C09">
            <w:pPr>
              <w:spacing w:before="100" w:beforeAutospacing="1" w:after="100" w:afterAutospacing="1" w:line="240" w:lineRule="auto"/>
              <w:jc w:val="center"/>
              <w:rPr>
                <w:rFonts w:eastAsia="Times New Roman" w:cs="Arial"/>
                <w:b/>
                <w:bCs/>
                <w:sz w:val="20"/>
                <w:szCs w:val="20"/>
              </w:rPr>
            </w:pPr>
            <w:r w:rsidRPr="00607C09">
              <w:rPr>
                <w:rFonts w:eastAsia="Times New Roman" w:cs="Arial"/>
                <w:b/>
                <w:bCs/>
                <w:noProof/>
                <w:sz w:val="20"/>
                <w:szCs w:val="20"/>
              </w:rPr>
              <mc:AlternateContent>
                <mc:Choice Requires="wps">
                  <w:drawing>
                    <wp:inline distT="0" distB="0" distL="0" distR="0">
                      <wp:extent cx="5410200" cy="38100"/>
                      <wp:effectExtent l="0" t="0" r="0" b="0"/>
                      <wp:docPr id="1" name="Rectangle 1" descr="http://www.wa.gov/esd/1stop/policies/documents/archive/3638.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02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F1D80" id="Rectangle 1" o:spid="_x0000_s1026" alt="http://www.wa.gov/esd/1stop/policies/documents/archive/3638.htm" style="width:426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" filled="f" stroked="f">
                      <o:lock v:ext="edit" aspectratio="t"/>
                      <w10:anchorlock/>
                    </v:rect>
                  </w:pict>
                </mc:Fallback>
              </mc:AlternateContent>
            </w:r>
            <w:r w:rsidRPr="00607C09">
              <w:rPr>
                <w:rFonts w:eastAsia="Times New Roman" w:cs="Arial"/>
                <w:b/>
                <w:bCs/>
                <w:sz w:val="20"/>
                <w:szCs w:val="20"/>
              </w:rPr>
              <w:br/>
            </w:r>
            <w:r w:rsidRPr="00607C09">
              <w:rPr>
                <w:rFonts w:eastAsia="Times New Roman" w:cs="Arial"/>
                <w:b/>
                <w:bCs/>
                <w:sz w:val="20"/>
                <w:szCs w:val="20"/>
              </w:rPr>
              <w:br/>
              <w:t>SECTION D: Program Plans and Operations</w:t>
            </w:r>
          </w:p>
          <w:p w:rsidR="00607C09" w:rsidRPr="00607C09" w:rsidRDefault="00607C09" w:rsidP="00607C09">
            <w:pPr>
              <w:spacing w:before="100" w:beforeAutospacing="1" w:after="100" w:afterAutospacing="1" w:line="240" w:lineRule="auto"/>
              <w:rPr>
                <w:rFonts w:eastAsia="Times New Roman" w:cs="Arial"/>
                <w:i/>
                <w:iCs/>
                <w:sz w:val="20"/>
                <w:szCs w:val="20"/>
              </w:rPr>
            </w:pPr>
            <w:r w:rsidRPr="00607C09">
              <w:rPr>
                <w:rFonts w:eastAsia="Times New Roman" w:cs="Arial"/>
                <w:i/>
                <w:iCs/>
                <w:sz w:val="20"/>
                <w:szCs w:val="20"/>
              </w:rPr>
              <w:t xml:space="preserve">Grantees, </w:t>
            </w:r>
            <w:proofErr w:type="spellStart"/>
            <w:r w:rsidRPr="00607C09">
              <w:rPr>
                <w:rFonts w:eastAsia="Times New Roman" w:cs="Arial"/>
                <w:i/>
                <w:iCs/>
                <w:sz w:val="20"/>
                <w:szCs w:val="20"/>
              </w:rPr>
              <w:t>subrecipients</w:t>
            </w:r>
            <w:proofErr w:type="spellEnd"/>
            <w:r w:rsidRPr="00607C09">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0"/>
              <w:gridCol w:w="5750"/>
            </w:tblGrid>
            <w:tr w:rsidR="00607C09" w:rsidRPr="00607C09">
              <w:trPr>
                <w:trHeight w:val="12"/>
                <w:tblCellSpacing w:w="15" w:type="dxa"/>
              </w:trPr>
              <w:tc>
                <w:tcPr>
                  <w:tcW w:w="1600" w:type="pct"/>
                  <w:vAlign w:val="center"/>
                  <w:hideMark/>
                </w:tcPr>
                <w:p w:rsidR="00607C09" w:rsidRPr="00607C09" w:rsidRDefault="00607C09" w:rsidP="00607C09">
                  <w:pPr>
                    <w:spacing w:before="100" w:beforeAutospacing="1" w:after="100" w:afterAutospacing="1" w:line="240" w:lineRule="auto"/>
                    <w:rPr>
                      <w:rFonts w:ascii="Times New Roman" w:eastAsia="Times New Roman" w:hAnsi="Times New Roman" w:cs="Times New Roman"/>
                      <w:szCs w:val="24"/>
                    </w:rPr>
                  </w:pPr>
                  <w:r w:rsidRPr="00607C09">
                    <w:rPr>
                      <w:rFonts w:eastAsia="Times New Roman" w:cs="Arial"/>
                      <w:b/>
                      <w:bCs/>
                      <w:sz w:val="20"/>
                      <w:szCs w:val="20"/>
                    </w:rPr>
                    <w:t>EFFECTIVE DATE:</w:t>
                  </w:r>
                  <w:r w:rsidRPr="00607C09">
                    <w:rPr>
                      <w:rFonts w:ascii="Times New Roman" w:eastAsia="Times New Roman" w:hAnsi="Times New Roman" w:cs="Times New Roman"/>
                      <w:b/>
                      <w:bCs/>
                      <w:szCs w:val="24"/>
                    </w:rPr>
                    <w:br/>
                  </w:r>
                  <w:r w:rsidRPr="00607C09">
                    <w:rPr>
                      <w:rFonts w:eastAsia="Times New Roman" w:cs="Arial"/>
                      <w:b/>
                      <w:bCs/>
                      <w:sz w:val="20"/>
                      <w:szCs w:val="20"/>
                    </w:rPr>
                    <w:t>WIA POLICY NUMBER:</w:t>
                  </w:r>
                  <w:r w:rsidRPr="00607C09">
                    <w:rPr>
                      <w:rFonts w:ascii="Times New Roman" w:eastAsia="Times New Roman" w:hAnsi="Times New Roman" w:cs="Times New Roman"/>
                      <w:b/>
                      <w:bCs/>
                      <w:szCs w:val="24"/>
                    </w:rPr>
                    <w:br/>
                  </w:r>
                  <w:r w:rsidRPr="00607C09">
                    <w:rPr>
                      <w:rFonts w:eastAsia="Times New Roman" w:cs="Arial"/>
                      <w:b/>
                      <w:bCs/>
                      <w:sz w:val="20"/>
                      <w:szCs w:val="20"/>
                    </w:rPr>
                    <w:t>SUBJECT:</w:t>
                  </w:r>
                </w:p>
              </w:tc>
              <w:tc>
                <w:tcPr>
                  <w:tcW w:w="3350" w:type="pct"/>
                  <w:vAlign w:val="center"/>
                  <w:hideMark/>
                </w:tcPr>
                <w:p w:rsidR="00607C09" w:rsidRPr="00607C09" w:rsidRDefault="00607C09" w:rsidP="00607C09">
                  <w:pPr>
                    <w:spacing w:before="100" w:beforeAutospacing="1" w:after="100" w:afterAutospacing="1" w:line="240" w:lineRule="auto"/>
                    <w:rPr>
                      <w:rFonts w:ascii="Times New Roman" w:eastAsia="Times New Roman" w:hAnsi="Times New Roman" w:cs="Times New Roman"/>
                      <w:szCs w:val="24"/>
                    </w:rPr>
                  </w:pPr>
                  <w:r w:rsidRPr="00607C09">
                    <w:rPr>
                      <w:rFonts w:eastAsia="Times New Roman" w:cs="Arial"/>
                      <w:sz w:val="20"/>
                      <w:szCs w:val="20"/>
                    </w:rPr>
                    <w:t>June 4, 2001</w:t>
                  </w:r>
                  <w:r w:rsidRPr="00607C09">
                    <w:rPr>
                      <w:rFonts w:eastAsia="Times New Roman" w:cs="Arial"/>
                      <w:sz w:val="20"/>
                      <w:szCs w:val="20"/>
                    </w:rPr>
                    <w:br/>
                    <w:t>3638</w:t>
                  </w:r>
                  <w:r w:rsidRPr="00607C09">
                    <w:rPr>
                      <w:rFonts w:eastAsia="Times New Roman" w:cs="Arial"/>
                      <w:sz w:val="20"/>
                      <w:szCs w:val="20"/>
                    </w:rPr>
                    <w:br/>
                    <w:t xml:space="preserve">WIA Title I-B Youth Eligibility and Application </w:t>
                  </w:r>
                </w:p>
              </w:tc>
            </w:tr>
          </w:tbl>
          <w:p w:rsidR="00607C09" w:rsidRPr="00607C09" w:rsidRDefault="00607C09" w:rsidP="00607C09">
            <w:pPr>
              <w:spacing w:before="100" w:beforeAutospacing="1" w:after="100" w:afterAutospacing="1" w:line="240" w:lineRule="auto"/>
              <w:jc w:val="center"/>
              <w:rPr>
                <w:rFonts w:eastAsia="Times New Roman" w:cs="Arial"/>
                <w:sz w:val="20"/>
                <w:szCs w:val="20"/>
              </w:rPr>
            </w:pPr>
            <w:hyperlink r:id="rId5" w:anchor="BACKGROUND:" w:history="1">
              <w:r w:rsidRPr="00607C09">
                <w:rPr>
                  <w:rFonts w:eastAsia="Times New Roman" w:cs="Arial"/>
                  <w:i/>
                  <w:iCs/>
                  <w:color w:val="0000FF"/>
                  <w:sz w:val="20"/>
                  <w:szCs w:val="20"/>
                  <w:u w:val="single"/>
                </w:rPr>
                <w:t xml:space="preserve">BACKGROUND </w:t>
              </w:r>
              <w:r w:rsidRPr="00607C09">
                <w:rPr>
                  <w:rFonts w:eastAsia="Times New Roman" w:cs="Arial"/>
                  <w:i/>
                  <w:iCs/>
                  <w:color w:val="000000"/>
                  <w:sz w:val="20"/>
                  <w:szCs w:val="20"/>
                  <w:u w:val="single"/>
                </w:rPr>
                <w:t>|</w:t>
              </w:r>
            </w:hyperlink>
            <w:r w:rsidRPr="00607C09">
              <w:rPr>
                <w:rFonts w:eastAsia="Times New Roman" w:cs="Arial"/>
                <w:i/>
                <w:iCs/>
                <w:sz w:val="20"/>
                <w:szCs w:val="20"/>
              </w:rPr>
              <w:t xml:space="preserve"> </w:t>
            </w:r>
            <w:hyperlink r:id="rId6" w:anchor="POLICY" w:history="1">
              <w:r w:rsidRPr="00607C09">
                <w:rPr>
                  <w:rFonts w:eastAsia="Times New Roman" w:cs="Arial"/>
                  <w:i/>
                  <w:iCs/>
                  <w:color w:val="0000FF"/>
                  <w:sz w:val="20"/>
                  <w:szCs w:val="20"/>
                  <w:u w:val="single"/>
                </w:rPr>
                <w:t>POLICY </w:t>
              </w:r>
            </w:hyperlink>
            <w:r w:rsidRPr="00607C09">
              <w:rPr>
                <w:rFonts w:eastAsia="Times New Roman" w:cs="Arial"/>
                <w:i/>
                <w:iCs/>
                <w:sz w:val="20"/>
                <w:szCs w:val="20"/>
              </w:rPr>
              <w:t xml:space="preserve"> |</w:t>
            </w:r>
            <w:r w:rsidRPr="00607C09">
              <w:rPr>
                <w:rFonts w:eastAsia="Times New Roman" w:cs="Arial"/>
                <w:i/>
                <w:iCs/>
                <w:color w:val="0000FF"/>
                <w:sz w:val="20"/>
                <w:szCs w:val="20"/>
              </w:rPr>
              <w:t xml:space="preserve"> </w:t>
            </w:r>
            <w:hyperlink r:id="rId7" w:anchor="DEFINITIONS" w:history="1">
              <w:r w:rsidRPr="00607C09">
                <w:rPr>
                  <w:rFonts w:eastAsia="Times New Roman" w:cs="Arial"/>
                  <w:i/>
                  <w:iCs/>
                  <w:color w:val="0000FF"/>
                  <w:sz w:val="20"/>
                  <w:szCs w:val="20"/>
                  <w:u w:val="single"/>
                </w:rPr>
                <w:t>DEFINITIONS</w:t>
              </w:r>
            </w:hyperlink>
            <w:r w:rsidRPr="00607C09">
              <w:rPr>
                <w:rFonts w:eastAsia="Times New Roman" w:cs="Arial"/>
                <w:i/>
                <w:iCs/>
                <w:sz w:val="20"/>
                <w:szCs w:val="20"/>
              </w:rPr>
              <w:t xml:space="preserve"> </w:t>
            </w:r>
            <w:r w:rsidRPr="00607C09">
              <w:rPr>
                <w:rFonts w:eastAsia="Times New Roman" w:cs="Arial"/>
                <w:i/>
                <w:iCs/>
                <w:color w:val="000000"/>
                <w:sz w:val="20"/>
                <w:szCs w:val="20"/>
              </w:rPr>
              <w:t>|</w:t>
            </w:r>
            <w:r w:rsidRPr="00607C09">
              <w:rPr>
                <w:rFonts w:eastAsia="Times New Roman" w:cs="Arial"/>
                <w:i/>
                <w:iCs/>
                <w:sz w:val="20"/>
                <w:szCs w:val="20"/>
              </w:rPr>
              <w:t xml:space="preserve"> </w:t>
            </w:r>
            <w:hyperlink r:id="rId8" w:anchor="REFERENCES" w:history="1">
              <w:r w:rsidRPr="00607C09">
                <w:rPr>
                  <w:rFonts w:eastAsia="Times New Roman" w:cs="Arial"/>
                  <w:i/>
                  <w:iCs/>
                  <w:color w:val="0000FF"/>
                  <w:sz w:val="20"/>
                  <w:szCs w:val="20"/>
                  <w:u w:val="single"/>
                </w:rPr>
                <w:t>REFERENCES</w:t>
              </w:r>
            </w:hyperlink>
            <w:r w:rsidRPr="00607C09">
              <w:rPr>
                <w:rFonts w:eastAsia="Times New Roman" w:cs="Arial"/>
                <w:i/>
                <w:iCs/>
                <w:sz w:val="20"/>
                <w:szCs w:val="20"/>
              </w:rPr>
              <w:t xml:space="preserve"> | </w:t>
            </w:r>
            <w:hyperlink r:id="rId9" w:anchor="SUPERSEDES" w:history="1">
              <w:r w:rsidRPr="00607C09">
                <w:rPr>
                  <w:rFonts w:eastAsia="Times New Roman" w:cs="Arial"/>
                  <w:i/>
                  <w:iCs/>
                  <w:color w:val="0000FF"/>
                  <w:sz w:val="20"/>
                  <w:szCs w:val="20"/>
                  <w:u w:val="single"/>
                </w:rPr>
                <w:t>SUPERSEDES</w:t>
              </w:r>
            </w:hyperlink>
            <w:r w:rsidRPr="00607C09">
              <w:rPr>
                <w:rFonts w:eastAsia="Times New Roman" w:cs="Arial"/>
                <w:color w:val="0000FF"/>
                <w:sz w:val="20"/>
                <w:szCs w:val="20"/>
              </w:rPr>
              <w:t xml:space="preserve"> </w:t>
            </w:r>
            <w:r w:rsidRPr="00607C09">
              <w:rPr>
                <w:rFonts w:eastAsia="Times New Roman" w:cs="Arial"/>
                <w:sz w:val="20"/>
                <w:szCs w:val="20"/>
              </w:rPr>
              <w:t xml:space="preserve">| </w:t>
            </w:r>
            <w:hyperlink r:id="rId10" w:anchor="WEBSITE" w:history="1">
              <w:r w:rsidRPr="00607C09">
                <w:rPr>
                  <w:rFonts w:eastAsia="Times New Roman" w:cs="Arial"/>
                  <w:i/>
                  <w:iCs/>
                  <w:color w:val="0000FF"/>
                  <w:sz w:val="20"/>
                  <w:szCs w:val="20"/>
                  <w:u w:val="single"/>
                </w:rPr>
                <w:t>WEBSITE</w:t>
              </w:r>
            </w:hyperlink>
            <w:r w:rsidRPr="00607C09">
              <w:rPr>
                <w:rFonts w:eastAsia="Times New Roman" w:cs="Arial"/>
                <w:i/>
                <w:iCs/>
                <w:sz w:val="20"/>
                <w:szCs w:val="20"/>
              </w:rPr>
              <w:t> </w:t>
            </w:r>
            <w:r w:rsidRPr="00607C09">
              <w:rPr>
                <w:rFonts w:eastAsia="Times New Roman" w:cs="Arial"/>
                <w:i/>
                <w:iCs/>
                <w:sz w:val="20"/>
                <w:szCs w:val="20"/>
              </w:rPr>
              <w:br/>
              <w:t> </w:t>
            </w:r>
            <w:hyperlink r:id="rId11" w:anchor="INQUIRIES" w:history="1">
              <w:r w:rsidRPr="00607C09">
                <w:rPr>
                  <w:rFonts w:eastAsia="Times New Roman" w:cs="Arial"/>
                  <w:i/>
                  <w:iCs/>
                  <w:color w:val="0000FF"/>
                  <w:sz w:val="20"/>
                  <w:szCs w:val="20"/>
                  <w:u w:val="single"/>
                </w:rPr>
                <w:t>INQUIRIES</w:t>
              </w:r>
            </w:hyperlink>
          </w:p>
          <w:p w:rsidR="00607C09" w:rsidRPr="00607C09" w:rsidRDefault="00607C09" w:rsidP="00607C09">
            <w:pPr>
              <w:spacing w:before="100" w:beforeAutospacing="1" w:after="100" w:afterAutospacing="1" w:line="240" w:lineRule="auto"/>
              <w:rPr>
                <w:rFonts w:eastAsia="Times New Roman" w:cs="Arial"/>
                <w:b/>
                <w:bCs/>
                <w:sz w:val="20"/>
                <w:szCs w:val="20"/>
              </w:rPr>
            </w:pPr>
            <w:bookmarkStart w:id="2" w:name="BACKGROUND"/>
            <w:r w:rsidRPr="00607C09">
              <w:rPr>
                <w:rFonts w:eastAsia="Times New Roman" w:cs="Arial"/>
                <w:b/>
                <w:bCs/>
                <w:sz w:val="20"/>
                <w:szCs w:val="20"/>
              </w:rPr>
              <w:t>BACKGROUND</w:t>
            </w:r>
            <w:bookmarkEnd w:id="2"/>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This state policy is required to establish the eligibility criteria and application system for the Workforce Investment Act (WIA) Title I-B Youth Programs.</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Both WIA and the regulations encourage states to establish policies, interpretations, guidelines, and definitions to implement provisions of Title I of WIA. These state policies have standing under law to the extent that they are not inconsistent with WIA and the regulations, as well as federal statutes and regulations governing One-Stop partner programs. Policy making options may be exercised at the state level. Policy options that are not exercised at the state level may be delegated to the local areas</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Local areas are also encouraged to establish policies, interpretations, guidelines, and definitions to implement provisions of Title I of WIA. Local area policies also have standing to the extent that such policies, interpretations, guidelines, and definitions are not inconsistent with the Act and the regulations issued under the Act, federal statutes, and regulations governing One-Stop partner programs and state policies.</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Workforce Investment Act Sections 101(13), 101(4), and 129, delegates to the state the option to establish certain policies, interpretations, guidelines, and definitions regarding Youth Eligibility Criteria and Definitions. One hundred percent (100%) of youth served in WIA youth programs must meet the low-income and the other criteria for eligibility, unless the WDC has opted for the 5% window. Under this standard for the majority of youth, refinements for the sixth criterion (requires additional assistance…) may be established at the state or local level (WIA CFR 664.210).</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If the WDC has opted to use the window, up to five percent (5%) of youth participants served by youth programs in a local area may be individuals who do not meet the income criterion for eligible youth. Youth enrolled into the window are required to meet one or more of eight categories. The eighth category (that the applicant faces serious barriers to employment) may be refined at the state or local level.</w:t>
            </w:r>
          </w:p>
          <w:p w:rsidR="00607C09" w:rsidRPr="00607C09" w:rsidRDefault="00607C09" w:rsidP="00607C09">
            <w:pPr>
              <w:spacing w:before="100" w:beforeAutospacing="1" w:after="100" w:afterAutospacing="1" w:line="240" w:lineRule="auto"/>
              <w:rPr>
                <w:rFonts w:eastAsia="Times New Roman" w:cs="Arial"/>
                <w:b/>
                <w:bCs/>
                <w:sz w:val="20"/>
                <w:szCs w:val="20"/>
              </w:rPr>
            </w:pPr>
            <w:bookmarkStart w:id="3" w:name="POLICY"/>
            <w:r w:rsidRPr="00607C09">
              <w:rPr>
                <w:rFonts w:eastAsia="Times New Roman" w:cs="Arial"/>
                <w:b/>
                <w:bCs/>
                <w:sz w:val="20"/>
                <w:szCs w:val="20"/>
              </w:rPr>
              <w:lastRenderedPageBreak/>
              <w:t>POLICY</w:t>
            </w:r>
            <w:bookmarkEnd w:id="3"/>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Workforce Development Councils (WDCs) must establish local eligibility determination policies and procedures for youth. WDCs must ensure that their policies are consistent with WIA law, regulations, and state policy as contained herein. This local policy must be maintained on file and available for review.</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WDCs must address the following:</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Refine the sixth youth eligibility criteria listed in the law. The sixth criterion states "that an individual (including a youth with a disability) who requires additional assistance to complete an education program, or to secure and hold employment";</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If planning to use the 5% window, WDCs must refine the "serious barriers to employment" category.</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To ensure adequate eligibility determinations, local policy must require documentation for each participant.</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WDCs are responsible for the maintenance of adequate documentation to ensure the creditability of the eligibility determination. Adequate documentation includes:</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A completed application for each applicant.</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Copies of documents used to determine eligibility, including the acceptance of applicant statement as self-certification as an alternative form of documentation, acknowledging that falsification of the information shall be grounds for immediate termination and may subject the applicant to other penalties under the law.</w:t>
            </w:r>
          </w:p>
          <w:p w:rsidR="00607C09" w:rsidRPr="00607C09" w:rsidRDefault="00607C09" w:rsidP="00607C09">
            <w:pPr>
              <w:spacing w:before="100" w:beforeAutospacing="1" w:after="100" w:afterAutospacing="1" w:line="240" w:lineRule="auto"/>
              <w:rPr>
                <w:rFonts w:eastAsia="Times New Roman" w:cs="Arial"/>
                <w:b/>
                <w:bCs/>
                <w:sz w:val="20"/>
                <w:szCs w:val="20"/>
              </w:rPr>
            </w:pPr>
            <w:bookmarkStart w:id="4" w:name="DEFINITIONS"/>
            <w:r w:rsidRPr="00607C09">
              <w:rPr>
                <w:rFonts w:eastAsia="Times New Roman" w:cs="Arial"/>
                <w:b/>
                <w:bCs/>
                <w:sz w:val="20"/>
                <w:szCs w:val="20"/>
              </w:rPr>
              <w:t>DEFINITIONS</w:t>
            </w:r>
            <w:bookmarkEnd w:id="4"/>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None.</w:t>
            </w:r>
          </w:p>
          <w:p w:rsidR="00607C09" w:rsidRPr="00607C09" w:rsidRDefault="00607C09" w:rsidP="00607C09">
            <w:pPr>
              <w:spacing w:before="100" w:beforeAutospacing="1" w:after="100" w:afterAutospacing="1" w:line="240" w:lineRule="auto"/>
              <w:rPr>
                <w:rFonts w:eastAsia="Times New Roman" w:cs="Arial"/>
                <w:b/>
                <w:bCs/>
                <w:sz w:val="20"/>
                <w:szCs w:val="20"/>
              </w:rPr>
            </w:pPr>
            <w:bookmarkStart w:id="5" w:name="REFERENCES"/>
            <w:r w:rsidRPr="00607C09">
              <w:rPr>
                <w:rFonts w:eastAsia="Times New Roman" w:cs="Arial"/>
                <w:b/>
                <w:bCs/>
                <w:sz w:val="20"/>
                <w:szCs w:val="20"/>
              </w:rPr>
              <w:t>REFERENCES</w:t>
            </w:r>
            <w:bookmarkEnd w:id="5"/>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None.</w:t>
            </w:r>
          </w:p>
          <w:p w:rsidR="00607C09" w:rsidRPr="00607C09" w:rsidRDefault="00607C09" w:rsidP="00607C09">
            <w:pPr>
              <w:spacing w:before="100" w:beforeAutospacing="1" w:after="100" w:afterAutospacing="1" w:line="240" w:lineRule="auto"/>
              <w:rPr>
                <w:rFonts w:eastAsia="Times New Roman" w:cs="Arial"/>
                <w:b/>
                <w:bCs/>
                <w:sz w:val="20"/>
                <w:szCs w:val="20"/>
              </w:rPr>
            </w:pPr>
            <w:bookmarkStart w:id="6" w:name="SUPERSEDES"/>
            <w:r w:rsidRPr="00607C09">
              <w:rPr>
                <w:rFonts w:eastAsia="Times New Roman" w:cs="Arial"/>
                <w:b/>
                <w:bCs/>
                <w:sz w:val="20"/>
                <w:szCs w:val="20"/>
              </w:rPr>
              <w:t>SUPERSEDES</w:t>
            </w:r>
            <w:bookmarkEnd w:id="6"/>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None. This communication is new.</w:t>
            </w:r>
          </w:p>
          <w:p w:rsidR="00607C09" w:rsidRPr="00607C09" w:rsidRDefault="00607C09" w:rsidP="00607C09">
            <w:pPr>
              <w:spacing w:before="100" w:beforeAutospacing="1" w:after="100" w:afterAutospacing="1" w:line="240" w:lineRule="auto"/>
              <w:rPr>
                <w:rFonts w:eastAsia="Times New Roman" w:cs="Arial"/>
                <w:b/>
                <w:bCs/>
                <w:sz w:val="20"/>
                <w:szCs w:val="20"/>
              </w:rPr>
            </w:pPr>
            <w:bookmarkStart w:id="7" w:name="WEBSITE"/>
            <w:r w:rsidRPr="00607C09">
              <w:rPr>
                <w:rFonts w:eastAsia="Times New Roman" w:cs="Arial"/>
                <w:b/>
                <w:bCs/>
                <w:sz w:val="20"/>
                <w:szCs w:val="20"/>
              </w:rPr>
              <w:t>WEBSITE</w:t>
            </w:r>
            <w:bookmarkEnd w:id="7"/>
          </w:p>
          <w:p w:rsidR="00607C09" w:rsidRPr="00607C09" w:rsidRDefault="00607C09" w:rsidP="00607C09">
            <w:pPr>
              <w:spacing w:before="100" w:beforeAutospacing="1" w:after="100" w:afterAutospacing="1" w:line="240" w:lineRule="auto"/>
              <w:rPr>
                <w:rFonts w:eastAsia="Times New Roman" w:cs="Arial"/>
                <w:sz w:val="20"/>
                <w:szCs w:val="20"/>
              </w:rPr>
            </w:pPr>
            <w:hyperlink r:id="rId12" w:history="1">
              <w:r w:rsidRPr="00607C09">
                <w:rPr>
                  <w:rFonts w:eastAsia="Times New Roman" w:cs="Arial"/>
                  <w:color w:val="0000FF"/>
                  <w:sz w:val="20"/>
                  <w:szCs w:val="20"/>
                  <w:u w:val="single"/>
                </w:rPr>
                <w:t>http://www.wa.gov/esd/policies/title1b.htm</w:t>
              </w:r>
            </w:hyperlink>
          </w:p>
          <w:p w:rsidR="00607C09" w:rsidRPr="00607C09" w:rsidRDefault="00607C09" w:rsidP="00607C09">
            <w:pPr>
              <w:spacing w:before="100" w:beforeAutospacing="1" w:after="100" w:afterAutospacing="1" w:line="240" w:lineRule="auto"/>
              <w:rPr>
                <w:rFonts w:eastAsia="Times New Roman" w:cs="Arial"/>
                <w:b/>
                <w:bCs/>
                <w:sz w:val="20"/>
                <w:szCs w:val="20"/>
              </w:rPr>
            </w:pPr>
            <w:r w:rsidRPr="00607C09">
              <w:rPr>
                <w:rFonts w:eastAsia="Times New Roman" w:cs="Arial"/>
                <w:b/>
                <w:bCs/>
                <w:sz w:val="20"/>
                <w:szCs w:val="20"/>
              </w:rPr>
              <w:t xml:space="preserve">DIRECT </w:t>
            </w:r>
            <w:bookmarkStart w:id="8" w:name="INQUIRIES"/>
            <w:r w:rsidRPr="00607C09">
              <w:rPr>
                <w:rFonts w:eastAsia="Times New Roman" w:cs="Arial"/>
                <w:b/>
                <w:bCs/>
                <w:sz w:val="20"/>
                <w:szCs w:val="20"/>
              </w:rPr>
              <w:t>INQUIRIES</w:t>
            </w:r>
            <w:bookmarkEnd w:id="8"/>
            <w:r w:rsidRPr="00607C09">
              <w:rPr>
                <w:rFonts w:eastAsia="Times New Roman" w:cs="Arial"/>
                <w:b/>
                <w:bCs/>
                <w:sz w:val="20"/>
                <w:szCs w:val="20"/>
              </w:rPr>
              <w:t xml:space="preserve"> TO</w:t>
            </w:r>
          </w:p>
          <w:p w:rsidR="00607C09" w:rsidRPr="00607C09" w:rsidRDefault="00607C09" w:rsidP="00607C09">
            <w:pPr>
              <w:spacing w:before="100" w:beforeAutospacing="1" w:after="100" w:afterAutospacing="1" w:line="240" w:lineRule="auto"/>
              <w:rPr>
                <w:rFonts w:eastAsia="Times New Roman" w:cs="Arial"/>
                <w:sz w:val="20"/>
                <w:szCs w:val="20"/>
              </w:rPr>
            </w:pPr>
            <w:r w:rsidRPr="00607C09">
              <w:rPr>
                <w:rFonts w:eastAsia="Times New Roman" w:cs="Arial"/>
                <w:sz w:val="20"/>
                <w:szCs w:val="20"/>
              </w:rPr>
              <w:t>Charles Lewis</w:t>
            </w:r>
            <w:r w:rsidRPr="00607C09">
              <w:rPr>
                <w:rFonts w:eastAsia="Times New Roman" w:cs="Arial"/>
                <w:sz w:val="20"/>
                <w:szCs w:val="20"/>
              </w:rPr>
              <w:br/>
              <w:t>WorkSource Standards &amp; Integration Division</w:t>
            </w:r>
            <w:r w:rsidRPr="00607C09">
              <w:rPr>
                <w:rFonts w:eastAsia="Times New Roman" w:cs="Arial"/>
                <w:sz w:val="20"/>
                <w:szCs w:val="20"/>
              </w:rPr>
              <w:br/>
              <w:t>Employment Security Department</w:t>
            </w:r>
            <w:r w:rsidRPr="00607C09">
              <w:rPr>
                <w:rFonts w:eastAsia="Times New Roman" w:cs="Arial"/>
                <w:sz w:val="20"/>
                <w:szCs w:val="20"/>
              </w:rPr>
              <w:br/>
              <w:t>P.O. Box 9046 , MS 6000</w:t>
            </w:r>
            <w:r w:rsidRPr="00607C09">
              <w:rPr>
                <w:rFonts w:eastAsia="Times New Roman" w:cs="Arial"/>
                <w:sz w:val="20"/>
                <w:szCs w:val="20"/>
              </w:rPr>
              <w:br/>
            </w:r>
            <w:r w:rsidRPr="00607C09">
              <w:rPr>
                <w:rFonts w:eastAsia="Times New Roman" w:cs="Arial"/>
                <w:sz w:val="20"/>
                <w:szCs w:val="20"/>
              </w:rPr>
              <w:lastRenderedPageBreak/>
              <w:t xml:space="preserve">Olympia , WA    98507-9046 </w:t>
            </w:r>
            <w:r w:rsidRPr="00607C09">
              <w:rPr>
                <w:rFonts w:eastAsia="Times New Roman" w:cs="Arial"/>
                <w:sz w:val="20"/>
                <w:szCs w:val="20"/>
              </w:rPr>
              <w:br/>
              <w:t xml:space="preserve">E-Mail: </w:t>
            </w:r>
            <w:hyperlink r:id="rId13" w:history="1">
              <w:r w:rsidRPr="00607C09">
                <w:rPr>
                  <w:rFonts w:eastAsia="Times New Roman" w:cs="Arial"/>
                  <w:color w:val="0000FF"/>
                  <w:sz w:val="20"/>
                  <w:szCs w:val="20"/>
                  <w:u w:val="single"/>
                </w:rPr>
                <w:t>clewis@esd.wa.gov</w:t>
              </w:r>
            </w:hyperlink>
            <w:r w:rsidRPr="00607C09">
              <w:rPr>
                <w:rFonts w:eastAsia="Times New Roman" w:cs="Arial"/>
                <w:sz w:val="20"/>
                <w:szCs w:val="20"/>
              </w:rPr>
              <w:br/>
              <w:t>Telephone: (360) 438-4018</w:t>
            </w:r>
            <w:r w:rsidRPr="00607C09">
              <w:rPr>
                <w:rFonts w:eastAsia="Times New Roman" w:cs="Arial"/>
                <w:sz w:val="20"/>
                <w:szCs w:val="20"/>
              </w:rPr>
              <w:br/>
              <w:t>FAX: (360) 438-4666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45"/>
              <w:gridCol w:w="2830"/>
              <w:gridCol w:w="2845"/>
            </w:tblGrid>
            <w:tr w:rsidR="00607C09" w:rsidRPr="00607C09">
              <w:trPr>
                <w:trHeight w:val="324"/>
                <w:tblCellSpacing w:w="15" w:type="dxa"/>
              </w:trPr>
              <w:tc>
                <w:tcPr>
                  <w:tcW w:w="1650" w:type="pct"/>
                  <w:vAlign w:val="center"/>
                  <w:hideMark/>
                </w:tcPr>
                <w:p w:rsidR="00607C09" w:rsidRPr="00607C09" w:rsidRDefault="00607C09" w:rsidP="00607C09">
                  <w:pPr>
                    <w:spacing w:before="100" w:beforeAutospacing="1" w:after="100" w:afterAutospacing="1" w:line="240" w:lineRule="auto"/>
                    <w:jc w:val="center"/>
                    <w:rPr>
                      <w:rFonts w:ascii="Times New Roman" w:eastAsia="Times New Roman" w:hAnsi="Times New Roman" w:cs="Times New Roman"/>
                      <w:szCs w:val="24"/>
                    </w:rPr>
                  </w:pPr>
                  <w:hyperlink r:id="rId14" w:anchor="Workforce" w:history="1">
                    <w:r w:rsidRPr="00607C09">
                      <w:rPr>
                        <w:rFonts w:eastAsia="Times New Roman" w:cs="Arial"/>
                        <w:color w:val="0000FF"/>
                        <w:sz w:val="20"/>
                        <w:szCs w:val="20"/>
                        <w:u w:val="single"/>
                      </w:rPr>
                      <w:t>Return to Top</w:t>
                    </w:r>
                  </w:hyperlink>
                </w:p>
              </w:tc>
              <w:tc>
                <w:tcPr>
                  <w:tcW w:w="1650" w:type="pct"/>
                  <w:vAlign w:val="center"/>
                  <w:hideMark/>
                </w:tcPr>
                <w:p w:rsidR="00607C09" w:rsidRPr="00607C09" w:rsidRDefault="00607C09" w:rsidP="00607C09">
                  <w:pPr>
                    <w:spacing w:before="100" w:beforeAutospacing="1" w:after="100" w:afterAutospacing="1" w:line="240" w:lineRule="auto"/>
                    <w:jc w:val="center"/>
                    <w:rPr>
                      <w:rFonts w:ascii="Times New Roman" w:eastAsia="Times New Roman" w:hAnsi="Times New Roman" w:cs="Times New Roman"/>
                      <w:szCs w:val="24"/>
                    </w:rPr>
                  </w:pPr>
                  <w:hyperlink r:id="rId15" w:history="1">
                    <w:r w:rsidRPr="00607C09">
                      <w:rPr>
                        <w:rFonts w:eastAsia="Times New Roman" w:cs="Arial"/>
                        <w:color w:val="0000FF"/>
                        <w:sz w:val="20"/>
                        <w:szCs w:val="20"/>
                        <w:u w:val="single"/>
                      </w:rPr>
                      <w:t>Title I-B Home</w:t>
                    </w:r>
                  </w:hyperlink>
                </w:p>
              </w:tc>
              <w:tc>
                <w:tcPr>
                  <w:tcW w:w="1650" w:type="pct"/>
                  <w:vAlign w:val="center"/>
                  <w:hideMark/>
                </w:tcPr>
                <w:p w:rsidR="00607C09" w:rsidRPr="00607C09" w:rsidRDefault="00607C09" w:rsidP="00607C09">
                  <w:pPr>
                    <w:spacing w:before="100" w:beforeAutospacing="1" w:after="100" w:afterAutospacing="1" w:line="240" w:lineRule="auto"/>
                    <w:jc w:val="center"/>
                    <w:rPr>
                      <w:rFonts w:ascii="Times New Roman" w:eastAsia="Times New Roman" w:hAnsi="Times New Roman" w:cs="Times New Roman"/>
                      <w:szCs w:val="24"/>
                    </w:rPr>
                  </w:pPr>
                  <w:r w:rsidRPr="00607C09">
                    <w:rPr>
                      <w:rFonts w:ascii="Times New Roman" w:eastAsia="Times New Roman" w:hAnsi="Times New Roman" w:cs="Times New Roman"/>
                      <w:szCs w:val="24"/>
                    </w:rPr>
                    <w:t> </w:t>
                  </w:r>
                </w:p>
              </w:tc>
            </w:tr>
          </w:tbl>
          <w:p w:rsidR="00607C09" w:rsidRPr="00607C09" w:rsidRDefault="00607C09" w:rsidP="00607C09">
            <w:pPr>
              <w:spacing w:before="100" w:beforeAutospacing="1" w:after="100" w:afterAutospacing="1" w:line="240" w:lineRule="auto"/>
              <w:jc w:val="center"/>
              <w:rPr>
                <w:rFonts w:eastAsia="Times New Roman" w:cs="Arial"/>
                <w:sz w:val="20"/>
                <w:szCs w:val="20"/>
              </w:rPr>
            </w:pPr>
            <w:r w:rsidRPr="00607C09">
              <w:rPr>
                <w:rFonts w:eastAsia="Times New Roman" w:cs="Arial"/>
                <w:sz w:val="20"/>
                <w:szCs w:val="20"/>
              </w:rPr>
              <w:t> </w:t>
            </w:r>
          </w:p>
          <w:tbl>
            <w:tblPr>
              <w:tblW w:w="7488" w:type="dxa"/>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1506"/>
              <w:gridCol w:w="2318"/>
              <w:gridCol w:w="3664"/>
            </w:tblGrid>
            <w:tr w:rsidR="00607C09" w:rsidRPr="00607C09">
              <w:trPr>
                <w:tblCellSpacing w:w="6" w:type="dxa"/>
              </w:trPr>
              <w:tc>
                <w:tcPr>
                  <w:tcW w:w="100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spacing w:before="100" w:beforeAutospacing="1" w:after="100" w:afterAutospacing="1" w:line="240" w:lineRule="auto"/>
                    <w:jc w:val="center"/>
                    <w:rPr>
                      <w:rFonts w:ascii="Times New Roman" w:eastAsia="Times New Roman" w:hAnsi="Times New Roman" w:cs="Times New Roman"/>
                      <w:szCs w:val="24"/>
                    </w:rPr>
                  </w:pPr>
                  <w:r w:rsidRPr="00607C09">
                    <w:rPr>
                      <w:rFonts w:eastAsia="Times New Roman" w:cs="Arial"/>
                      <w:b/>
                      <w:bCs/>
                      <w:sz w:val="20"/>
                      <w:szCs w:val="20"/>
                    </w:rPr>
                    <w:t>Eligibility Criteria</w:t>
                  </w:r>
                  <w:r w:rsidRPr="00607C09">
                    <w:rPr>
                      <w:rFonts w:ascii="Times New Roman" w:eastAsia="Times New Roman" w:hAnsi="Times New Roman" w:cs="Times New Roman"/>
                      <w:szCs w:val="24"/>
                    </w:rPr>
                    <w:t xml:space="preserve"> </w:t>
                  </w:r>
                  <w:r w:rsidRPr="00607C09">
                    <w:rPr>
                      <w:rFonts w:eastAsia="Times New Roman" w:cs="Arial"/>
                      <w:b/>
                      <w:bCs/>
                      <w:sz w:val="20"/>
                      <w:szCs w:val="20"/>
                    </w:rPr>
                    <w:t>WIA Youth Services</w:t>
                  </w:r>
                </w:p>
              </w:tc>
              <w:tc>
                <w:tcPr>
                  <w:tcW w:w="155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spacing w:before="100" w:beforeAutospacing="1" w:after="100" w:afterAutospacing="1" w:line="240" w:lineRule="auto"/>
                    <w:jc w:val="center"/>
                    <w:rPr>
                      <w:rFonts w:ascii="Times New Roman" w:eastAsia="Times New Roman" w:hAnsi="Times New Roman" w:cs="Times New Roman"/>
                      <w:szCs w:val="24"/>
                    </w:rPr>
                  </w:pPr>
                  <w:r w:rsidRPr="00607C09">
                    <w:rPr>
                      <w:rFonts w:eastAsia="Times New Roman" w:cs="Arial"/>
                      <w:b/>
                      <w:bCs/>
                      <w:sz w:val="20"/>
                      <w:szCs w:val="20"/>
                    </w:rPr>
                    <w:t>Conditions</w:t>
                  </w:r>
                </w:p>
              </w:tc>
              <w:tc>
                <w:tcPr>
                  <w:tcW w:w="245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spacing w:before="100" w:beforeAutospacing="1" w:after="100" w:afterAutospacing="1" w:line="240" w:lineRule="auto"/>
                    <w:jc w:val="center"/>
                    <w:rPr>
                      <w:rFonts w:ascii="Times New Roman" w:eastAsia="Times New Roman" w:hAnsi="Times New Roman" w:cs="Times New Roman"/>
                      <w:szCs w:val="24"/>
                    </w:rPr>
                  </w:pPr>
                  <w:r w:rsidRPr="00607C09">
                    <w:rPr>
                      <w:rFonts w:eastAsia="Times New Roman" w:cs="Arial"/>
                      <w:b/>
                      <w:bCs/>
                      <w:sz w:val="20"/>
                      <w:szCs w:val="20"/>
                    </w:rPr>
                    <w:t>Commonly Used Documentation – Local Policy may allow for other acceptable documentation.</w:t>
                  </w:r>
                </w:p>
              </w:tc>
            </w:tr>
            <w:tr w:rsidR="00607C09" w:rsidRPr="00607C09">
              <w:trPr>
                <w:tblCellSpacing w:w="6" w:type="dxa"/>
              </w:trPr>
              <w:tc>
                <w:tcPr>
                  <w:tcW w:w="100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spacing w:before="100" w:beforeAutospacing="1" w:after="100" w:afterAutospacing="1" w:line="240" w:lineRule="auto"/>
                    <w:rPr>
                      <w:rFonts w:ascii="Times New Roman" w:eastAsia="Times New Roman" w:hAnsi="Times New Roman" w:cs="Times New Roman"/>
                      <w:szCs w:val="24"/>
                    </w:rPr>
                  </w:pPr>
                  <w:r w:rsidRPr="00607C09">
                    <w:rPr>
                      <w:rFonts w:eastAsia="Times New Roman" w:cs="Arial"/>
                      <w:sz w:val="20"/>
                      <w:szCs w:val="20"/>
                    </w:rPr>
                    <w:t>a. Age</w:t>
                  </w:r>
                </w:p>
              </w:tc>
              <w:tc>
                <w:tcPr>
                  <w:tcW w:w="155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spacing w:before="100" w:beforeAutospacing="1" w:after="100" w:afterAutospacing="1" w:line="240" w:lineRule="auto"/>
                    <w:rPr>
                      <w:rFonts w:ascii="Times New Roman" w:eastAsia="Times New Roman" w:hAnsi="Times New Roman" w:cs="Times New Roman"/>
                      <w:szCs w:val="24"/>
                    </w:rPr>
                  </w:pPr>
                  <w:r w:rsidRPr="00607C09">
                    <w:rPr>
                      <w:rFonts w:eastAsia="Times New Roman" w:cs="Arial"/>
                      <w:sz w:val="20"/>
                      <w:szCs w:val="20"/>
                    </w:rPr>
                    <w:t>14 through 21 years of age at time of application</w:t>
                  </w:r>
                </w:p>
              </w:tc>
              <w:tc>
                <w:tcPr>
                  <w:tcW w:w="245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Birth Certificate or hospital record of birth</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proofErr w:type="spellStart"/>
                  <w:r w:rsidRPr="00607C09">
                    <w:rPr>
                      <w:rFonts w:eastAsia="Times New Roman" w:cs="Arial"/>
                      <w:sz w:val="20"/>
                      <w:szCs w:val="20"/>
                    </w:rPr>
                    <w:t>Drivers</w:t>
                  </w:r>
                  <w:proofErr w:type="spellEnd"/>
                  <w:r w:rsidRPr="00607C09">
                    <w:rPr>
                      <w:rFonts w:eastAsia="Times New Roman" w:cs="Arial"/>
                      <w:sz w:val="20"/>
                      <w:szCs w:val="20"/>
                    </w:rPr>
                    <w:t xml:space="preserve"> License or DMV Identification</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Baptismal Certificate</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Voter Registration Card</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DD Form 214 (Report of Transfer or Discharge)</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Alien Registration Card</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Food Stamp Records or Medical Coupons</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School enrollment documents</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Naturalization Certificate</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Public Assistance Records</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US Passport</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Native American Tribal Document(s)</w:t>
                  </w:r>
                </w:p>
                <w:p w:rsidR="00607C09" w:rsidRPr="00607C09" w:rsidRDefault="00607C09" w:rsidP="00607C09">
                  <w:pPr>
                    <w:numPr>
                      <w:ilvl w:val="0"/>
                      <w:numId w:val="1"/>
                    </w:numPr>
                    <w:spacing w:before="100" w:beforeAutospacing="1" w:after="100" w:afterAutospacing="1" w:line="240" w:lineRule="auto"/>
                    <w:rPr>
                      <w:rFonts w:eastAsia="Times New Roman" w:cs="Arial"/>
                      <w:sz w:val="20"/>
                      <w:szCs w:val="20"/>
                    </w:rPr>
                  </w:pPr>
                  <w:r w:rsidRPr="00607C09">
                    <w:rPr>
                      <w:rFonts w:eastAsia="Times New Roman" w:cs="Arial"/>
                      <w:sz w:val="20"/>
                      <w:szCs w:val="20"/>
                    </w:rPr>
                    <w:t>Other documents or procedures as established by WDC policy.</w:t>
                  </w:r>
                </w:p>
              </w:tc>
            </w:tr>
            <w:tr w:rsidR="00607C09" w:rsidRPr="00607C09">
              <w:trPr>
                <w:tblCellSpacing w:w="6" w:type="dxa"/>
              </w:trPr>
              <w:tc>
                <w:tcPr>
                  <w:tcW w:w="100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spacing w:before="100" w:beforeAutospacing="1" w:after="100" w:afterAutospacing="1" w:line="240" w:lineRule="auto"/>
                    <w:rPr>
                      <w:rFonts w:ascii="Times New Roman" w:eastAsia="Times New Roman" w:hAnsi="Times New Roman" w:cs="Times New Roman"/>
                      <w:szCs w:val="24"/>
                    </w:rPr>
                  </w:pPr>
                  <w:r w:rsidRPr="00607C09">
                    <w:rPr>
                      <w:rFonts w:eastAsia="Times New Roman" w:cs="Arial"/>
                      <w:sz w:val="20"/>
                      <w:szCs w:val="20"/>
                    </w:rPr>
                    <w:t>b. Citizenship or</w:t>
                  </w:r>
                  <w:r w:rsidRPr="00607C09">
                    <w:rPr>
                      <w:rFonts w:ascii="Times New Roman" w:eastAsia="Times New Roman" w:hAnsi="Times New Roman" w:cs="Times New Roman"/>
                      <w:szCs w:val="24"/>
                    </w:rPr>
                    <w:t xml:space="preserve"> </w:t>
                  </w:r>
                  <w:r w:rsidRPr="00607C09">
                    <w:rPr>
                      <w:rFonts w:eastAsia="Times New Roman" w:cs="Arial"/>
                      <w:sz w:val="20"/>
                      <w:szCs w:val="20"/>
                    </w:rPr>
                    <w:t>eligible non-</w:t>
                  </w:r>
                  <w:r w:rsidRPr="00607C09">
                    <w:rPr>
                      <w:rFonts w:ascii="Times New Roman" w:eastAsia="Times New Roman" w:hAnsi="Times New Roman" w:cs="Times New Roman"/>
                      <w:szCs w:val="24"/>
                    </w:rPr>
                    <w:t xml:space="preserve"> </w:t>
                  </w:r>
                  <w:r w:rsidRPr="00607C09">
                    <w:rPr>
                      <w:rFonts w:eastAsia="Times New Roman" w:cs="Arial"/>
                      <w:sz w:val="20"/>
                      <w:szCs w:val="20"/>
                    </w:rPr>
                    <w:t>citizen</w:t>
                  </w:r>
                </w:p>
              </w:tc>
              <w:tc>
                <w:tcPr>
                  <w:tcW w:w="155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spacing w:before="100" w:beforeAutospacing="1" w:after="100" w:afterAutospacing="1" w:line="240" w:lineRule="auto"/>
                    <w:rPr>
                      <w:rFonts w:ascii="Times New Roman" w:eastAsia="Times New Roman" w:hAnsi="Times New Roman" w:cs="Times New Roman"/>
                      <w:szCs w:val="24"/>
                    </w:rPr>
                  </w:pPr>
                  <w:r w:rsidRPr="00607C09">
                    <w:rPr>
                      <w:rFonts w:eastAsia="Times New Roman" w:cs="Arial"/>
                      <w:sz w:val="20"/>
                      <w:szCs w:val="20"/>
                    </w:rPr>
                    <w:t>If the applicant is to be employed as an activity within WIA Youth Services, then the applicant must be legally entitled to work in the United States.</w:t>
                  </w:r>
                </w:p>
              </w:tc>
              <w:tc>
                <w:tcPr>
                  <w:tcW w:w="245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numPr>
                      <w:ilvl w:val="0"/>
                      <w:numId w:val="2"/>
                    </w:numPr>
                    <w:spacing w:before="100" w:beforeAutospacing="1" w:after="100" w:afterAutospacing="1" w:line="240" w:lineRule="auto"/>
                    <w:rPr>
                      <w:rFonts w:eastAsia="Times New Roman" w:cs="Arial"/>
                      <w:sz w:val="20"/>
                      <w:szCs w:val="20"/>
                    </w:rPr>
                  </w:pPr>
                  <w:r w:rsidRPr="00607C09">
                    <w:rPr>
                      <w:rFonts w:eastAsia="Times New Roman" w:cs="Arial"/>
                      <w:sz w:val="20"/>
                      <w:szCs w:val="20"/>
                    </w:rPr>
                    <w:t>Social Security Card</w:t>
                  </w:r>
                </w:p>
                <w:p w:rsidR="00607C09" w:rsidRPr="00607C09" w:rsidRDefault="00607C09" w:rsidP="00607C09">
                  <w:pPr>
                    <w:numPr>
                      <w:ilvl w:val="0"/>
                      <w:numId w:val="2"/>
                    </w:numPr>
                    <w:spacing w:before="100" w:beforeAutospacing="1" w:after="100" w:afterAutospacing="1" w:line="240" w:lineRule="auto"/>
                    <w:rPr>
                      <w:rFonts w:eastAsia="Times New Roman" w:cs="Arial"/>
                      <w:sz w:val="20"/>
                      <w:szCs w:val="20"/>
                    </w:rPr>
                  </w:pPr>
                  <w:r w:rsidRPr="00607C09">
                    <w:rPr>
                      <w:rFonts w:eastAsia="Times New Roman" w:cs="Arial"/>
                      <w:sz w:val="20"/>
                      <w:szCs w:val="20"/>
                    </w:rPr>
                    <w:t>Birth Certificate</w:t>
                  </w:r>
                </w:p>
                <w:p w:rsidR="00607C09" w:rsidRPr="00607C09" w:rsidRDefault="00607C09" w:rsidP="00607C09">
                  <w:pPr>
                    <w:numPr>
                      <w:ilvl w:val="0"/>
                      <w:numId w:val="2"/>
                    </w:numPr>
                    <w:spacing w:before="100" w:beforeAutospacing="1" w:after="100" w:afterAutospacing="1" w:line="240" w:lineRule="auto"/>
                    <w:rPr>
                      <w:rFonts w:eastAsia="Times New Roman" w:cs="Arial"/>
                      <w:sz w:val="20"/>
                      <w:szCs w:val="20"/>
                    </w:rPr>
                  </w:pPr>
                  <w:r w:rsidRPr="00607C09">
                    <w:rPr>
                      <w:rFonts w:eastAsia="Times New Roman" w:cs="Arial"/>
                      <w:sz w:val="20"/>
                      <w:szCs w:val="20"/>
                    </w:rPr>
                    <w:t>Any form of documentation as defined by Immigration and Naturalization Service (INS) for work eligibility</w:t>
                  </w:r>
                </w:p>
                <w:p w:rsidR="00607C09" w:rsidRPr="00607C09" w:rsidRDefault="00607C09" w:rsidP="00607C09">
                  <w:pPr>
                    <w:numPr>
                      <w:ilvl w:val="0"/>
                      <w:numId w:val="2"/>
                    </w:numPr>
                    <w:spacing w:before="100" w:beforeAutospacing="1" w:after="100" w:afterAutospacing="1" w:line="240" w:lineRule="auto"/>
                    <w:rPr>
                      <w:rFonts w:eastAsia="Times New Roman" w:cs="Arial"/>
                      <w:sz w:val="20"/>
                      <w:szCs w:val="20"/>
                    </w:rPr>
                  </w:pPr>
                  <w:r w:rsidRPr="00607C09">
                    <w:rPr>
                      <w:rFonts w:eastAsia="Times New Roman" w:cs="Arial"/>
                      <w:sz w:val="20"/>
                      <w:szCs w:val="20"/>
                    </w:rPr>
                    <w:t xml:space="preserve">Other documents or procedures as established by WDC policy </w:t>
                  </w:r>
                </w:p>
              </w:tc>
            </w:tr>
            <w:tr w:rsidR="00607C09" w:rsidRPr="00607C09">
              <w:trPr>
                <w:tblCellSpacing w:w="6" w:type="dxa"/>
              </w:trPr>
              <w:tc>
                <w:tcPr>
                  <w:tcW w:w="100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spacing w:before="100" w:beforeAutospacing="1" w:after="100" w:afterAutospacing="1" w:line="240" w:lineRule="auto"/>
                    <w:rPr>
                      <w:rFonts w:ascii="Times New Roman" w:eastAsia="Times New Roman" w:hAnsi="Times New Roman" w:cs="Times New Roman"/>
                      <w:szCs w:val="24"/>
                    </w:rPr>
                  </w:pPr>
                  <w:r w:rsidRPr="00607C09">
                    <w:rPr>
                      <w:rFonts w:eastAsia="Times New Roman" w:cs="Arial"/>
                      <w:sz w:val="20"/>
                      <w:szCs w:val="20"/>
                    </w:rPr>
                    <w:t>c. Selective</w:t>
                  </w:r>
                  <w:r w:rsidRPr="00607C09">
                    <w:rPr>
                      <w:rFonts w:ascii="Times New Roman" w:eastAsia="Times New Roman" w:hAnsi="Times New Roman" w:cs="Times New Roman"/>
                      <w:szCs w:val="24"/>
                    </w:rPr>
                    <w:t xml:space="preserve"> </w:t>
                  </w:r>
                  <w:r w:rsidRPr="00607C09">
                    <w:rPr>
                      <w:rFonts w:eastAsia="Times New Roman" w:cs="Arial"/>
                      <w:sz w:val="20"/>
                      <w:szCs w:val="20"/>
                    </w:rPr>
                    <w:t>Service</w:t>
                  </w:r>
                  <w:r w:rsidRPr="00607C09">
                    <w:rPr>
                      <w:rFonts w:ascii="Times New Roman" w:eastAsia="Times New Roman" w:hAnsi="Times New Roman" w:cs="Times New Roman"/>
                      <w:szCs w:val="24"/>
                    </w:rPr>
                    <w:t xml:space="preserve"> </w:t>
                  </w:r>
                  <w:r w:rsidRPr="00607C09">
                    <w:rPr>
                      <w:rFonts w:eastAsia="Times New Roman" w:cs="Arial"/>
                      <w:sz w:val="20"/>
                      <w:szCs w:val="20"/>
                    </w:rPr>
                    <w:t>Registration</w:t>
                  </w:r>
                </w:p>
              </w:tc>
              <w:tc>
                <w:tcPr>
                  <w:tcW w:w="155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spacing w:before="100" w:beforeAutospacing="1" w:after="100" w:afterAutospacing="1" w:line="240" w:lineRule="auto"/>
                    <w:rPr>
                      <w:rFonts w:ascii="Times New Roman" w:eastAsia="Times New Roman" w:hAnsi="Times New Roman" w:cs="Times New Roman"/>
                      <w:szCs w:val="24"/>
                    </w:rPr>
                  </w:pPr>
                  <w:r w:rsidRPr="00607C09">
                    <w:rPr>
                      <w:rFonts w:eastAsia="Times New Roman" w:cs="Arial"/>
                      <w:sz w:val="20"/>
                      <w:szCs w:val="20"/>
                    </w:rPr>
                    <w:t xml:space="preserve">Almost all male U.S. citizens, and male aliens living in the U.S., who are 18 through 25, </w:t>
                  </w:r>
                  <w:r w:rsidRPr="00607C09">
                    <w:rPr>
                      <w:rFonts w:eastAsia="Times New Roman" w:cs="Arial"/>
                      <w:sz w:val="20"/>
                      <w:szCs w:val="20"/>
                    </w:rPr>
                    <w:lastRenderedPageBreak/>
                    <w:t>are required to register with Selective Service. This rule applies to applicants who are 18 through 21 years of age at the time of application.</w:t>
                  </w:r>
                </w:p>
              </w:tc>
              <w:tc>
                <w:tcPr>
                  <w:tcW w:w="245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numPr>
                      <w:ilvl w:val="0"/>
                      <w:numId w:val="3"/>
                    </w:numPr>
                    <w:spacing w:before="100" w:beforeAutospacing="1" w:after="100" w:afterAutospacing="1" w:line="240" w:lineRule="auto"/>
                    <w:rPr>
                      <w:rFonts w:eastAsia="Times New Roman" w:cs="Arial"/>
                      <w:sz w:val="20"/>
                      <w:szCs w:val="20"/>
                    </w:rPr>
                  </w:pPr>
                  <w:r w:rsidRPr="00607C09">
                    <w:rPr>
                      <w:rFonts w:eastAsia="Times New Roman" w:cs="Arial"/>
                      <w:sz w:val="20"/>
                      <w:szCs w:val="20"/>
                    </w:rPr>
                    <w:lastRenderedPageBreak/>
                    <w:t>Selective Service Registration Card</w:t>
                  </w:r>
                </w:p>
                <w:p w:rsidR="00607C09" w:rsidRPr="00607C09" w:rsidRDefault="00607C09" w:rsidP="00607C09">
                  <w:pPr>
                    <w:numPr>
                      <w:ilvl w:val="0"/>
                      <w:numId w:val="3"/>
                    </w:numPr>
                    <w:spacing w:before="100" w:beforeAutospacing="1" w:after="100" w:afterAutospacing="1" w:line="240" w:lineRule="auto"/>
                    <w:rPr>
                      <w:rFonts w:eastAsia="Times New Roman" w:cs="Arial"/>
                      <w:sz w:val="20"/>
                      <w:szCs w:val="20"/>
                    </w:rPr>
                  </w:pPr>
                  <w:r w:rsidRPr="00607C09">
                    <w:rPr>
                      <w:rFonts w:eastAsia="Times New Roman" w:cs="Arial"/>
                      <w:sz w:val="20"/>
                      <w:szCs w:val="20"/>
                    </w:rPr>
                    <w:t>Receipt of registration</w:t>
                  </w:r>
                </w:p>
                <w:p w:rsidR="00607C09" w:rsidRPr="00607C09" w:rsidRDefault="00607C09" w:rsidP="00607C09">
                  <w:pPr>
                    <w:numPr>
                      <w:ilvl w:val="0"/>
                      <w:numId w:val="3"/>
                    </w:numPr>
                    <w:spacing w:before="100" w:beforeAutospacing="1" w:after="100" w:afterAutospacing="1" w:line="240" w:lineRule="auto"/>
                    <w:rPr>
                      <w:rFonts w:eastAsia="Times New Roman" w:cs="Arial"/>
                      <w:sz w:val="20"/>
                      <w:szCs w:val="20"/>
                    </w:rPr>
                  </w:pPr>
                  <w:r w:rsidRPr="00607C09">
                    <w:rPr>
                      <w:rFonts w:eastAsia="Times New Roman" w:cs="Arial"/>
                      <w:sz w:val="20"/>
                      <w:szCs w:val="20"/>
                    </w:rPr>
                    <w:lastRenderedPageBreak/>
                    <w:t>On-line confirmation or Telephonic verification with Selective Service</w:t>
                  </w:r>
                </w:p>
                <w:p w:rsidR="00607C09" w:rsidRPr="00607C09" w:rsidRDefault="00607C09" w:rsidP="00607C09">
                  <w:pPr>
                    <w:numPr>
                      <w:ilvl w:val="0"/>
                      <w:numId w:val="3"/>
                    </w:numPr>
                    <w:spacing w:before="100" w:beforeAutospacing="1" w:after="100" w:afterAutospacing="1" w:line="240" w:lineRule="auto"/>
                    <w:rPr>
                      <w:rFonts w:eastAsia="Times New Roman" w:cs="Arial"/>
                      <w:sz w:val="20"/>
                      <w:szCs w:val="20"/>
                    </w:rPr>
                  </w:pPr>
                  <w:r w:rsidRPr="00607C09">
                    <w:rPr>
                      <w:rFonts w:eastAsia="Times New Roman" w:cs="Arial"/>
                      <w:sz w:val="20"/>
                      <w:szCs w:val="20"/>
                    </w:rPr>
                    <w:t>DD Form 214 (Report of Transfer or Discharge)</w:t>
                  </w:r>
                </w:p>
                <w:p w:rsidR="00607C09" w:rsidRPr="00607C09" w:rsidRDefault="00607C09" w:rsidP="00607C09">
                  <w:pPr>
                    <w:numPr>
                      <w:ilvl w:val="0"/>
                      <w:numId w:val="3"/>
                    </w:numPr>
                    <w:spacing w:before="100" w:beforeAutospacing="1" w:after="100" w:afterAutospacing="1" w:line="240" w:lineRule="auto"/>
                    <w:rPr>
                      <w:rFonts w:eastAsia="Times New Roman" w:cs="Arial"/>
                      <w:sz w:val="20"/>
                      <w:szCs w:val="20"/>
                    </w:rPr>
                  </w:pPr>
                  <w:r w:rsidRPr="00607C09">
                    <w:rPr>
                      <w:rFonts w:eastAsia="Times New Roman" w:cs="Arial"/>
                      <w:sz w:val="20"/>
                      <w:szCs w:val="20"/>
                    </w:rPr>
                    <w:t>Other documents or procedures as established by WDC policy</w:t>
                  </w:r>
                </w:p>
              </w:tc>
            </w:tr>
            <w:tr w:rsidR="00607C09" w:rsidRPr="00607C09">
              <w:trPr>
                <w:tblCellSpacing w:w="6" w:type="dxa"/>
              </w:trPr>
              <w:tc>
                <w:tcPr>
                  <w:tcW w:w="100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spacing w:before="100" w:beforeAutospacing="1" w:after="100" w:afterAutospacing="1" w:line="240" w:lineRule="auto"/>
                    <w:rPr>
                      <w:rFonts w:ascii="Times New Roman" w:eastAsia="Times New Roman" w:hAnsi="Times New Roman" w:cs="Times New Roman"/>
                      <w:szCs w:val="24"/>
                    </w:rPr>
                  </w:pPr>
                  <w:r w:rsidRPr="00607C09">
                    <w:rPr>
                      <w:rFonts w:eastAsia="Times New Roman" w:cs="Arial"/>
                      <w:sz w:val="20"/>
                      <w:szCs w:val="20"/>
                    </w:rPr>
                    <w:lastRenderedPageBreak/>
                    <w:t>d. Family</w:t>
                  </w:r>
                  <w:r w:rsidRPr="00607C09">
                    <w:rPr>
                      <w:rFonts w:ascii="Times New Roman" w:eastAsia="Times New Roman" w:hAnsi="Times New Roman" w:cs="Times New Roman"/>
                      <w:szCs w:val="24"/>
                    </w:rPr>
                    <w:t xml:space="preserve"> </w:t>
                  </w:r>
                  <w:r w:rsidRPr="00607C09">
                    <w:rPr>
                      <w:rFonts w:eastAsia="Times New Roman" w:cs="Arial"/>
                      <w:sz w:val="20"/>
                      <w:szCs w:val="20"/>
                    </w:rPr>
                    <w:t>Income and</w:t>
                  </w:r>
                  <w:r w:rsidRPr="00607C09">
                    <w:rPr>
                      <w:rFonts w:ascii="Times New Roman" w:eastAsia="Times New Roman" w:hAnsi="Times New Roman" w:cs="Times New Roman"/>
                      <w:szCs w:val="24"/>
                    </w:rPr>
                    <w:t xml:space="preserve"> </w:t>
                  </w:r>
                  <w:r w:rsidRPr="00607C09">
                    <w:rPr>
                      <w:rFonts w:eastAsia="Times New Roman" w:cs="Arial"/>
                      <w:sz w:val="20"/>
                      <w:szCs w:val="20"/>
                    </w:rPr>
                    <w:t>Family Size</w:t>
                  </w:r>
                </w:p>
              </w:tc>
              <w:tc>
                <w:tcPr>
                  <w:tcW w:w="155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spacing w:before="100" w:beforeAutospacing="1" w:after="100" w:afterAutospacing="1" w:line="240" w:lineRule="auto"/>
                    <w:rPr>
                      <w:rFonts w:ascii="Times New Roman" w:eastAsia="Times New Roman" w:hAnsi="Times New Roman" w:cs="Times New Roman"/>
                      <w:szCs w:val="24"/>
                    </w:rPr>
                  </w:pPr>
                  <w:r w:rsidRPr="00607C09">
                    <w:rPr>
                      <w:rFonts w:eastAsia="Times New Roman" w:cs="Arial"/>
                      <w:sz w:val="20"/>
                      <w:szCs w:val="20"/>
                    </w:rPr>
                    <w:t>An applicant to a WIA Youth Program must be either in a low-income family or enrolled in the 5 percent window for exceptions</w:t>
                  </w:r>
                </w:p>
              </w:tc>
              <w:tc>
                <w:tcPr>
                  <w:tcW w:w="2450" w:type="pct"/>
                  <w:tcBorders>
                    <w:top w:val="outset" w:sz="6" w:space="0" w:color="auto"/>
                    <w:left w:val="outset" w:sz="6" w:space="0" w:color="auto"/>
                    <w:bottom w:val="outset" w:sz="6" w:space="0" w:color="auto"/>
                    <w:right w:val="outset" w:sz="6" w:space="0" w:color="auto"/>
                  </w:tcBorders>
                  <w:hideMark/>
                </w:tcPr>
                <w:p w:rsidR="00607C09" w:rsidRPr="00607C09" w:rsidRDefault="00607C09" w:rsidP="00607C09">
                  <w:pPr>
                    <w:numPr>
                      <w:ilvl w:val="0"/>
                      <w:numId w:val="4"/>
                    </w:numPr>
                    <w:spacing w:before="100" w:beforeAutospacing="1" w:after="100" w:afterAutospacing="1" w:line="240" w:lineRule="auto"/>
                    <w:rPr>
                      <w:rFonts w:eastAsia="Times New Roman" w:cs="Arial"/>
                      <w:sz w:val="20"/>
                      <w:szCs w:val="20"/>
                    </w:rPr>
                  </w:pPr>
                  <w:r w:rsidRPr="00607C09">
                    <w:rPr>
                      <w:rFonts w:eastAsia="Times New Roman" w:cs="Arial"/>
                      <w:sz w:val="20"/>
                      <w:szCs w:val="20"/>
                    </w:rPr>
                    <w:t>Pay Stubs</w:t>
                  </w:r>
                </w:p>
                <w:p w:rsidR="00607C09" w:rsidRPr="00607C09" w:rsidRDefault="00607C09" w:rsidP="00607C09">
                  <w:pPr>
                    <w:numPr>
                      <w:ilvl w:val="0"/>
                      <w:numId w:val="4"/>
                    </w:numPr>
                    <w:spacing w:before="100" w:beforeAutospacing="1" w:after="100" w:afterAutospacing="1" w:line="240" w:lineRule="auto"/>
                    <w:rPr>
                      <w:rFonts w:eastAsia="Times New Roman" w:cs="Arial"/>
                      <w:sz w:val="20"/>
                      <w:szCs w:val="20"/>
                    </w:rPr>
                  </w:pPr>
                  <w:r w:rsidRPr="00607C09">
                    <w:rPr>
                      <w:rFonts w:eastAsia="Times New Roman" w:cs="Arial"/>
                      <w:sz w:val="20"/>
                      <w:szCs w:val="20"/>
                    </w:rPr>
                    <w:t>Employer Records</w:t>
                  </w:r>
                </w:p>
                <w:p w:rsidR="00607C09" w:rsidRPr="00607C09" w:rsidRDefault="00607C09" w:rsidP="00607C09">
                  <w:pPr>
                    <w:numPr>
                      <w:ilvl w:val="0"/>
                      <w:numId w:val="4"/>
                    </w:numPr>
                    <w:spacing w:before="100" w:beforeAutospacing="1" w:after="100" w:afterAutospacing="1" w:line="240" w:lineRule="auto"/>
                    <w:rPr>
                      <w:rFonts w:eastAsia="Times New Roman" w:cs="Arial"/>
                      <w:sz w:val="20"/>
                      <w:szCs w:val="20"/>
                    </w:rPr>
                  </w:pPr>
                  <w:r w:rsidRPr="00607C09">
                    <w:rPr>
                      <w:rFonts w:eastAsia="Times New Roman" w:cs="Arial"/>
                      <w:sz w:val="20"/>
                      <w:szCs w:val="20"/>
                    </w:rPr>
                    <w:t>Public Assistance Award Letters</w:t>
                  </w:r>
                </w:p>
                <w:p w:rsidR="00607C09" w:rsidRPr="00607C09" w:rsidRDefault="00607C09" w:rsidP="00607C09">
                  <w:pPr>
                    <w:numPr>
                      <w:ilvl w:val="0"/>
                      <w:numId w:val="4"/>
                    </w:numPr>
                    <w:spacing w:before="100" w:beforeAutospacing="1" w:after="100" w:afterAutospacing="1" w:line="240" w:lineRule="auto"/>
                    <w:rPr>
                      <w:rFonts w:eastAsia="Times New Roman" w:cs="Arial"/>
                      <w:sz w:val="20"/>
                      <w:szCs w:val="20"/>
                    </w:rPr>
                  </w:pPr>
                  <w:r w:rsidRPr="00607C09">
                    <w:rPr>
                      <w:rFonts w:eastAsia="Times New Roman" w:cs="Arial"/>
                      <w:sz w:val="20"/>
                      <w:szCs w:val="20"/>
                    </w:rPr>
                    <w:t>Child Support Records</w:t>
                  </w:r>
                </w:p>
                <w:p w:rsidR="00607C09" w:rsidRPr="00607C09" w:rsidRDefault="00607C09" w:rsidP="00607C09">
                  <w:pPr>
                    <w:numPr>
                      <w:ilvl w:val="0"/>
                      <w:numId w:val="4"/>
                    </w:numPr>
                    <w:spacing w:before="100" w:beforeAutospacing="1" w:after="100" w:afterAutospacing="1" w:line="240" w:lineRule="auto"/>
                    <w:rPr>
                      <w:rFonts w:eastAsia="Times New Roman" w:cs="Arial"/>
                      <w:sz w:val="20"/>
                      <w:szCs w:val="20"/>
                    </w:rPr>
                  </w:pPr>
                  <w:r w:rsidRPr="00607C09">
                    <w:rPr>
                      <w:rFonts w:eastAsia="Times New Roman" w:cs="Arial"/>
                      <w:sz w:val="20"/>
                      <w:szCs w:val="20"/>
                    </w:rPr>
                    <w:t>Self-certification can be used as an alternative means to determine eligibility. If self-certification is used for an applicant under the legal age of 18, then consider requiring someone who is 18 or older to act as a co-signer. Also consider requiring self-certifiers to acknowledge that knowingly providing false information will be grounds for immediate exit and possible penalties under the law.</w:t>
                  </w:r>
                </w:p>
                <w:p w:rsidR="00607C09" w:rsidRPr="00607C09" w:rsidRDefault="00607C09" w:rsidP="00607C09">
                  <w:pPr>
                    <w:numPr>
                      <w:ilvl w:val="0"/>
                      <w:numId w:val="4"/>
                    </w:numPr>
                    <w:spacing w:before="100" w:beforeAutospacing="1" w:after="100" w:afterAutospacing="1" w:line="240" w:lineRule="auto"/>
                    <w:rPr>
                      <w:rFonts w:eastAsia="Times New Roman" w:cs="Arial"/>
                      <w:sz w:val="20"/>
                      <w:szCs w:val="20"/>
                    </w:rPr>
                  </w:pPr>
                  <w:r w:rsidRPr="00607C09">
                    <w:rPr>
                      <w:rFonts w:eastAsia="Times New Roman" w:cs="Arial"/>
                      <w:sz w:val="20"/>
                      <w:szCs w:val="20"/>
                    </w:rPr>
                    <w:t xml:space="preserve">Any written policies and procedures for documentation and validation as established by the local council. </w:t>
                  </w:r>
                </w:p>
              </w:tc>
            </w:tr>
          </w:tbl>
          <w:p w:rsidR="00607C09" w:rsidRPr="00607C09" w:rsidRDefault="00607C09" w:rsidP="00607C09">
            <w:pPr>
              <w:spacing w:after="0" w:line="240" w:lineRule="auto"/>
              <w:rPr>
                <w:rFonts w:eastAsia="Times New Roman" w:cs="Arial"/>
                <w:sz w:val="20"/>
                <w:szCs w:val="20"/>
              </w:rPr>
            </w:pPr>
          </w:p>
        </w:tc>
        <w:tc>
          <w:tcPr>
            <w:tcW w:w="5000" w:type="pct"/>
            <w:vAlign w:val="center"/>
            <w:hideMark/>
          </w:tcPr>
          <w:p w:rsidR="00607C09" w:rsidRPr="00607C09" w:rsidRDefault="00607C09" w:rsidP="00607C09">
            <w:pPr>
              <w:spacing w:after="0" w:line="240" w:lineRule="auto"/>
              <w:rPr>
                <w:rFonts w:ascii="Times New Roman" w:eastAsia="Times New Roman" w:hAnsi="Times New Roman" w:cs="Times New Roman"/>
                <w:sz w:val="20"/>
                <w:szCs w:val="20"/>
              </w:rPr>
            </w:pPr>
          </w:p>
        </w:tc>
      </w:tr>
    </w:tbl>
    <w:p w:rsidR="00607C09" w:rsidRPr="00607C09" w:rsidRDefault="00607C09" w:rsidP="00607C09">
      <w:pPr>
        <w:spacing w:after="0" w:line="240" w:lineRule="auto"/>
        <w:rPr>
          <w:rFonts w:ascii="Times New Roman" w:eastAsia="Times New Roman" w:hAnsi="Times New Roman" w:cs="Times New Roman"/>
          <w:vanish/>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607C09" w:rsidRPr="00607C09" w:rsidTr="00607C09">
        <w:trPr>
          <w:trHeight w:val="324"/>
          <w:tblCellSpacing w:w="15" w:type="dxa"/>
        </w:trPr>
        <w:tc>
          <w:tcPr>
            <w:tcW w:w="1650" w:type="pct"/>
            <w:vAlign w:val="center"/>
            <w:hideMark/>
          </w:tcPr>
          <w:p w:rsidR="00607C09" w:rsidRPr="00607C09" w:rsidRDefault="00607C09" w:rsidP="00607C09">
            <w:pPr>
              <w:spacing w:before="100" w:beforeAutospacing="1" w:after="100" w:afterAutospacing="1" w:line="240" w:lineRule="auto"/>
              <w:jc w:val="center"/>
              <w:rPr>
                <w:rFonts w:ascii="Times New Roman" w:eastAsia="Times New Roman" w:hAnsi="Times New Roman" w:cs="Times New Roman"/>
                <w:szCs w:val="24"/>
              </w:rPr>
            </w:pPr>
            <w:r w:rsidRPr="00607C09">
              <w:rPr>
                <w:rFonts w:ascii="Times New Roman" w:eastAsia="Times New Roman" w:hAnsi="Times New Roman" w:cs="Times New Roman"/>
                <w:szCs w:val="24"/>
              </w:rPr>
              <w:t> </w:t>
            </w:r>
          </w:p>
        </w:tc>
        <w:tc>
          <w:tcPr>
            <w:tcW w:w="1650" w:type="pct"/>
            <w:vAlign w:val="center"/>
            <w:hideMark/>
          </w:tcPr>
          <w:p w:rsidR="00607C09" w:rsidRPr="00607C09" w:rsidRDefault="00607C09" w:rsidP="00607C09">
            <w:pPr>
              <w:spacing w:before="100" w:beforeAutospacing="1" w:after="100" w:afterAutospacing="1" w:line="240" w:lineRule="auto"/>
              <w:jc w:val="center"/>
              <w:rPr>
                <w:rFonts w:ascii="Times New Roman" w:eastAsia="Times New Roman" w:hAnsi="Times New Roman" w:cs="Times New Roman"/>
                <w:szCs w:val="24"/>
              </w:rPr>
            </w:pPr>
            <w:r w:rsidRPr="00607C09">
              <w:rPr>
                <w:rFonts w:ascii="Times New Roman" w:eastAsia="Times New Roman" w:hAnsi="Times New Roman" w:cs="Times New Roman"/>
                <w:szCs w:val="24"/>
              </w:rPr>
              <w:t> </w:t>
            </w:r>
          </w:p>
        </w:tc>
        <w:tc>
          <w:tcPr>
            <w:tcW w:w="1650" w:type="pct"/>
            <w:vAlign w:val="center"/>
            <w:hideMark/>
          </w:tcPr>
          <w:p w:rsidR="00607C09" w:rsidRPr="00607C09" w:rsidRDefault="00607C09" w:rsidP="00607C09">
            <w:pPr>
              <w:spacing w:before="100" w:beforeAutospacing="1" w:after="100" w:afterAutospacing="1" w:line="240" w:lineRule="auto"/>
              <w:jc w:val="center"/>
              <w:rPr>
                <w:rFonts w:ascii="Times New Roman" w:eastAsia="Times New Roman" w:hAnsi="Times New Roman" w:cs="Times New Roman"/>
                <w:szCs w:val="24"/>
              </w:rPr>
            </w:pPr>
            <w:r w:rsidRPr="00607C09">
              <w:rPr>
                <w:rFonts w:ascii="Times New Roman" w:eastAsia="Times New Roman" w:hAnsi="Times New Roman" w:cs="Times New Roman"/>
                <w:szCs w:val="24"/>
              </w:rPr>
              <w:t> </w:t>
            </w:r>
          </w:p>
        </w:tc>
      </w:tr>
    </w:tbl>
    <w:p w:rsidR="00607C09" w:rsidRPr="00607C09" w:rsidRDefault="00607C09" w:rsidP="00607C09">
      <w:pPr>
        <w:spacing w:before="100" w:beforeAutospacing="1" w:after="100" w:afterAutospacing="1" w:line="240" w:lineRule="auto"/>
        <w:rPr>
          <w:rFonts w:ascii="Times New Roman" w:eastAsia="Times New Roman" w:hAnsi="Times New Roman" w:cs="Times New Roman"/>
          <w:szCs w:val="24"/>
        </w:rPr>
      </w:pPr>
      <w:r w:rsidRPr="00607C09">
        <w:rPr>
          <w:rFonts w:ascii="Times New Roman" w:eastAsia="Times New Roman" w:hAnsi="Times New Roman" w:cs="Times New Roman"/>
          <w:szCs w:val="24"/>
        </w:rPr>
        <w:t> </w:t>
      </w:r>
    </w:p>
    <w:p w:rsidR="00F65F93" w:rsidRDefault="00F65F93"/>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424E"/>
    <w:multiLevelType w:val="multilevel"/>
    <w:tmpl w:val="CC4A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F2AE6"/>
    <w:multiLevelType w:val="multilevel"/>
    <w:tmpl w:val="D38A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860E4"/>
    <w:multiLevelType w:val="multilevel"/>
    <w:tmpl w:val="AD1C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92925"/>
    <w:multiLevelType w:val="multilevel"/>
    <w:tmpl w:val="7330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09"/>
    <w:rsid w:val="00607C09"/>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FF7C7-0796-4751-B94B-E3D1DB7B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607C09"/>
    <w:rPr>
      <w:color w:val="0000FF"/>
      <w:u w:val="single"/>
    </w:rPr>
  </w:style>
  <w:style w:type="paragraph" w:styleId="NormalWeb">
    <w:name w:val="Normal (Web)"/>
    <w:basedOn w:val="Normal"/>
    <w:uiPriority w:val="99"/>
    <w:semiHidden/>
    <w:unhideWhenUsed/>
    <w:rsid w:val="00607C0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638.htm" TargetMode="External"/><Relationship Id="rId13" Type="http://schemas.openxmlformats.org/officeDocument/2006/relationships/hyperlink" Target="mailto:clewis@esd.wa.gov"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wa.gov/esd/1stop/policies/documents/archive/3638.htm" TargetMode="External"/><Relationship Id="rId12" Type="http://schemas.openxmlformats.org/officeDocument/2006/relationships/hyperlink" Target="http://www.wa.gov/esd/policies/title1b.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wa.gov/esd/1stop/policies/documents/archive/3638.htm" TargetMode="External"/><Relationship Id="rId11" Type="http://schemas.openxmlformats.org/officeDocument/2006/relationships/hyperlink" Target="http://www.wa.gov/esd/1stop/policies/documents/archive/3638.htm" TargetMode="External"/><Relationship Id="rId5" Type="http://schemas.openxmlformats.org/officeDocument/2006/relationships/hyperlink" Target="http://www.wa.gov/esd/1stop/policies/documents/archive/3638.htm" TargetMode="External"/><Relationship Id="rId15" Type="http://schemas.openxmlformats.org/officeDocument/2006/relationships/hyperlink" Target="http://www.wa.gov/esd/policies/title1b.htm" TargetMode="External"/><Relationship Id="rId10" Type="http://schemas.openxmlformats.org/officeDocument/2006/relationships/hyperlink" Target="http://www.wa.gov/esd/1stop/policies/documents/archive/3638.ht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wa.gov/esd/1stop/policies/documents/archive/3638.htm" TargetMode="External"/><Relationship Id="rId14" Type="http://schemas.openxmlformats.org/officeDocument/2006/relationships/hyperlink" Target="http://www.wa.gov/esd/1stop/policies/documents/archive/36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B612A-6D7F-4681-9659-28B78DD90D22}"/>
</file>

<file path=customXml/itemProps2.xml><?xml version="1.0" encoding="utf-8"?>
<ds:datastoreItem xmlns:ds="http://schemas.openxmlformats.org/officeDocument/2006/customXml" ds:itemID="{CE8A1026-4B5F-48D6-9439-E9812D867050}"/>
</file>

<file path=customXml/itemProps3.xml><?xml version="1.0" encoding="utf-8"?>
<ds:datastoreItem xmlns:ds="http://schemas.openxmlformats.org/officeDocument/2006/customXml" ds:itemID="{EB8AD1BB-B6C1-49BE-90E4-8EF0042CCC59}"/>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6616</Characters>
  <Application>Microsoft Office Word</Application>
  <DocSecurity>0</DocSecurity>
  <Lines>55</Lines>
  <Paragraphs>15</Paragraphs>
  <ScaleCrop>false</ScaleCrop>
  <Company>ESD - State Of Washington</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2017-05-18T23:22:00Z</dcterms:created>
  <dcterms:modified xsi:type="dcterms:W3CDTF">2017-05-18T23:22:00Z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