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F9" w:rsidRPr="000825F9" w:rsidRDefault="000825F9" w:rsidP="000825F9">
      <w:pPr>
        <w:spacing w:before="100" w:beforeAutospacing="1" w:after="100" w:afterAutospacing="1" w:line="240" w:lineRule="auto"/>
        <w:jc w:val="center"/>
        <w:rPr>
          <w:rFonts w:ascii="Times New Roman" w:eastAsia="Times New Roman" w:hAnsi="Times New Roman" w:cs="Times New Roman"/>
          <w:b/>
          <w:bCs/>
          <w:szCs w:val="24"/>
        </w:rPr>
      </w:pPr>
      <w:bookmarkStart w:id="0" w:name="Workforce"/>
      <w:bookmarkStart w:id="1" w:name="_GoBack"/>
      <w:bookmarkEnd w:id="1"/>
      <w:r w:rsidRPr="000825F9">
        <w:rPr>
          <w:rFonts w:eastAsia="Times New Roman" w:cs="Arial"/>
          <w:b/>
          <w:bCs/>
          <w:color w:val="FF0000"/>
          <w:szCs w:val="24"/>
        </w:rPr>
        <w:br/>
        <w:t>Workforce</w:t>
      </w:r>
      <w:bookmarkEnd w:id="0"/>
      <w:r w:rsidRPr="000825F9">
        <w:rPr>
          <w:rFonts w:eastAsia="Times New Roman" w:cs="Arial"/>
          <w:b/>
          <w:bCs/>
          <w:color w:val="FF0000"/>
          <w:szCs w:val="24"/>
        </w:rPr>
        <w:t xml:space="preserve"> Investment Act Title I-B</w:t>
      </w:r>
      <w:r w:rsidRPr="000825F9">
        <w:rPr>
          <w:rFonts w:eastAsia="Times New Roman" w:cs="Arial"/>
          <w:b/>
          <w:bCs/>
          <w:sz w:val="20"/>
          <w:szCs w:val="20"/>
        </w:rPr>
        <w:br/>
        <w:t>Washington State Policies</w:t>
      </w:r>
    </w:p>
    <w:p w:rsidR="000825F9" w:rsidRPr="000825F9" w:rsidRDefault="000825F9" w:rsidP="000825F9">
      <w:pPr>
        <w:spacing w:before="100" w:beforeAutospacing="1" w:after="100" w:afterAutospacing="1" w:line="240" w:lineRule="auto"/>
        <w:jc w:val="center"/>
        <w:rPr>
          <w:rFonts w:ascii="Times New Roman" w:eastAsia="Times New Roman" w:hAnsi="Times New Roman" w:cs="Times New Roman"/>
          <w:b/>
          <w:bCs/>
          <w:szCs w:val="24"/>
        </w:rPr>
      </w:pPr>
      <w:r w:rsidRPr="000825F9">
        <w:rPr>
          <w:rFonts w:ascii="Times New Roman" w:eastAsia="Times New Roman" w:hAnsi="Times New Roman" w:cs="Times New Roman"/>
          <w:b/>
          <w:bCs/>
          <w:noProof/>
          <w:szCs w:val="24"/>
        </w:rPr>
        <mc:AlternateContent>
          <mc:Choice Requires="wps">
            <w:drawing>
              <wp:inline distT="0" distB="0" distL="0" distR="0" wp14:anchorId="632BAE1E" wp14:editId="1A892735">
                <wp:extent cx="5429250" cy="38100"/>
                <wp:effectExtent l="0" t="0" r="0" b="0"/>
                <wp:docPr id="3" name="AutoShape 8" descr="http://www.wa.gov/esd/1stop/policies/documents/archive/3260.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8EA33" id="AutoShape 8" o:spid="_x0000_s1026" alt="http://www.wa.gov/esd/1stop/policies/documents/archive/3260.htm" style="width:42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" filled="f" stroked="f">
                <o:lock v:ext="edit" aspectratio="t"/>
                <w10:anchorlock/>
              </v:rect>
            </w:pict>
          </mc:Fallback>
        </mc:AlternateContent>
      </w:r>
    </w:p>
    <w:p w:rsidR="000825F9" w:rsidRPr="000825F9" w:rsidRDefault="000825F9" w:rsidP="000825F9">
      <w:pPr>
        <w:spacing w:before="100" w:beforeAutospacing="1" w:after="100" w:afterAutospacing="1" w:line="240" w:lineRule="auto"/>
        <w:jc w:val="center"/>
        <w:rPr>
          <w:rFonts w:ascii="Times New Roman" w:eastAsia="Times New Roman" w:hAnsi="Times New Roman" w:cs="Times New Roman"/>
          <w:b/>
          <w:bCs/>
          <w:szCs w:val="24"/>
        </w:rPr>
      </w:pPr>
      <w:r w:rsidRPr="000825F9">
        <w:rPr>
          <w:rFonts w:eastAsia="Times New Roman" w:cs="Arial"/>
          <w:b/>
          <w:bCs/>
          <w:sz w:val="20"/>
          <w:szCs w:val="20"/>
        </w:rPr>
        <w:t>SECTION B: Fiscal Control and Accounting Guidelines</w:t>
      </w:r>
    </w:p>
    <w:p w:rsidR="000825F9" w:rsidRPr="000825F9" w:rsidRDefault="000825F9" w:rsidP="000825F9">
      <w:pPr>
        <w:spacing w:before="100" w:beforeAutospacing="1" w:after="100" w:afterAutospacing="1" w:line="240" w:lineRule="auto"/>
        <w:rPr>
          <w:rFonts w:eastAsia="Times New Roman" w:cs="Arial"/>
          <w:i/>
          <w:iCs/>
          <w:szCs w:val="24"/>
        </w:rPr>
      </w:pPr>
      <w:r w:rsidRPr="000825F9">
        <w:rPr>
          <w:rFonts w:eastAsia="Times New Roman" w:cs="Arial"/>
          <w:i/>
          <w:iCs/>
          <w:sz w:val="20"/>
          <w:szCs w:val="20"/>
        </w:rPr>
        <w:t xml:space="preserve">Grantees, </w:t>
      </w:r>
      <w:proofErr w:type="spellStart"/>
      <w:r w:rsidRPr="000825F9">
        <w:rPr>
          <w:rFonts w:eastAsia="Times New Roman" w:cs="Arial"/>
          <w:i/>
          <w:iCs/>
          <w:sz w:val="20"/>
          <w:szCs w:val="20"/>
        </w:rPr>
        <w:t>subrecipients</w:t>
      </w:r>
      <w:proofErr w:type="spellEnd"/>
      <w:r w:rsidRPr="000825F9">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w:t>
      </w:r>
    </w:p>
    <w:tbl>
      <w:tblPr>
        <w:tblW w:w="7752" w:type="dxa"/>
        <w:tblCellSpacing w:w="15" w:type="dxa"/>
        <w:tblCellMar>
          <w:top w:w="48" w:type="dxa"/>
          <w:left w:w="48" w:type="dxa"/>
          <w:bottom w:w="48" w:type="dxa"/>
          <w:right w:w="48" w:type="dxa"/>
        </w:tblCellMar>
        <w:tblLook w:val="04A0" w:firstRow="1" w:lastRow="0" w:firstColumn="1" w:lastColumn="0" w:noHBand="0" w:noVBand="1"/>
      </w:tblPr>
      <w:tblGrid>
        <w:gridCol w:w="2208"/>
        <w:gridCol w:w="5544"/>
      </w:tblGrid>
      <w:tr w:rsidR="000825F9" w:rsidRPr="000825F9">
        <w:trPr>
          <w:tblCellSpacing w:w="15" w:type="dxa"/>
        </w:trPr>
        <w:tc>
          <w:tcPr>
            <w:tcW w:w="2100" w:type="dxa"/>
            <w:vAlign w:val="center"/>
            <w:hideMark/>
          </w:tcPr>
          <w:p w:rsidR="000825F9" w:rsidRPr="000825F9" w:rsidRDefault="000825F9" w:rsidP="000825F9">
            <w:pPr>
              <w:spacing w:after="0" w:line="240" w:lineRule="auto"/>
              <w:rPr>
                <w:rFonts w:ascii="Times New Roman" w:eastAsia="Times New Roman" w:hAnsi="Times New Roman" w:cs="Times New Roman"/>
                <w:szCs w:val="24"/>
              </w:rPr>
            </w:pPr>
            <w:r w:rsidRPr="000825F9">
              <w:rPr>
                <w:rFonts w:eastAsia="Times New Roman" w:cs="Arial"/>
                <w:b/>
                <w:bCs/>
                <w:sz w:val="20"/>
                <w:szCs w:val="20"/>
              </w:rPr>
              <w:t>EFFECTIVE DATE:</w:t>
            </w:r>
            <w:r w:rsidRPr="000825F9">
              <w:rPr>
                <w:rFonts w:eastAsia="Times New Roman" w:cs="Arial"/>
                <w:b/>
                <w:bCs/>
                <w:sz w:val="20"/>
                <w:szCs w:val="20"/>
              </w:rPr>
              <w:br/>
              <w:t>WIA POLICY NUMBER:</w:t>
            </w:r>
            <w:r w:rsidRPr="000825F9">
              <w:rPr>
                <w:rFonts w:eastAsia="Times New Roman" w:cs="Arial"/>
                <w:b/>
                <w:bCs/>
                <w:sz w:val="20"/>
                <w:szCs w:val="20"/>
              </w:rPr>
              <w:br/>
              <w:t>SUBJECT:</w:t>
            </w:r>
          </w:p>
        </w:tc>
        <w:tc>
          <w:tcPr>
            <w:tcW w:w="5340" w:type="dxa"/>
            <w:vAlign w:val="center"/>
            <w:hideMark/>
          </w:tcPr>
          <w:p w:rsidR="000825F9" w:rsidRPr="000825F9" w:rsidRDefault="000825F9" w:rsidP="000825F9">
            <w:pPr>
              <w:spacing w:after="0" w:line="240" w:lineRule="auto"/>
              <w:rPr>
                <w:rFonts w:ascii="Times New Roman" w:eastAsia="Times New Roman" w:hAnsi="Times New Roman" w:cs="Times New Roman"/>
                <w:szCs w:val="24"/>
              </w:rPr>
            </w:pPr>
            <w:r w:rsidRPr="000825F9">
              <w:rPr>
                <w:rFonts w:ascii="Times New Roman" w:eastAsia="Times New Roman" w:hAnsi="Times New Roman" w:cs="Times New Roman"/>
                <w:sz w:val="20"/>
                <w:szCs w:val="20"/>
              </w:rPr>
              <w:t>June 9, 2006</w:t>
            </w:r>
            <w:r w:rsidRPr="000825F9">
              <w:rPr>
                <w:rFonts w:eastAsia="Times New Roman" w:cs="Arial"/>
                <w:sz w:val="20"/>
                <w:szCs w:val="20"/>
              </w:rPr>
              <w:br/>
              <w:t>3260, Revision 1</w:t>
            </w:r>
            <w:r w:rsidRPr="000825F9">
              <w:rPr>
                <w:rFonts w:eastAsia="Times New Roman" w:cs="Arial"/>
                <w:sz w:val="20"/>
                <w:szCs w:val="20"/>
              </w:rPr>
              <w:br/>
              <w:t>Allowable Cost and Prior Approval Requirements</w:t>
            </w:r>
          </w:p>
        </w:tc>
      </w:tr>
    </w:tbl>
    <w:p w:rsidR="000825F9" w:rsidRPr="000825F9" w:rsidRDefault="000825F9" w:rsidP="000825F9">
      <w:pPr>
        <w:spacing w:before="100" w:beforeAutospacing="1" w:after="100" w:afterAutospacing="1" w:line="240" w:lineRule="auto"/>
        <w:jc w:val="center"/>
        <w:rPr>
          <w:rFonts w:eastAsia="Times New Roman" w:cs="Arial"/>
          <w:i/>
          <w:iCs/>
          <w:szCs w:val="24"/>
        </w:rPr>
      </w:pPr>
      <w:hyperlink r:id="rId5" w:anchor="BACKGROUND" w:history="1">
        <w:r w:rsidRPr="000825F9">
          <w:rPr>
            <w:rFonts w:eastAsia="Times New Roman" w:cs="Arial"/>
            <w:i/>
            <w:iCs/>
            <w:color w:val="0000FF"/>
            <w:sz w:val="20"/>
            <w:szCs w:val="20"/>
            <w:u w:val="single"/>
          </w:rPr>
          <w:br/>
          <w:t>BACKGROUND</w:t>
        </w:r>
      </w:hyperlink>
      <w:r w:rsidRPr="000825F9">
        <w:rPr>
          <w:rFonts w:eastAsia="Times New Roman" w:cs="Arial"/>
          <w:i/>
          <w:iCs/>
          <w:sz w:val="20"/>
          <w:szCs w:val="20"/>
        </w:rPr>
        <w:t xml:space="preserve"> | </w:t>
      </w:r>
      <w:hyperlink r:id="rId6" w:anchor="POLICY" w:history="1">
        <w:r w:rsidRPr="000825F9">
          <w:rPr>
            <w:rFonts w:eastAsia="Times New Roman" w:cs="Arial"/>
            <w:i/>
            <w:iCs/>
            <w:color w:val="0000FF"/>
            <w:sz w:val="20"/>
            <w:szCs w:val="20"/>
            <w:u w:val="single"/>
          </w:rPr>
          <w:t>POLICY</w:t>
        </w:r>
      </w:hyperlink>
      <w:r w:rsidRPr="000825F9">
        <w:rPr>
          <w:rFonts w:eastAsia="Times New Roman" w:cs="Arial"/>
          <w:i/>
          <w:iCs/>
          <w:sz w:val="20"/>
          <w:szCs w:val="20"/>
        </w:rPr>
        <w:t xml:space="preserve"> | </w:t>
      </w:r>
      <w:hyperlink r:id="rId7" w:anchor="DEFINITIONS" w:history="1">
        <w:r w:rsidRPr="000825F9">
          <w:rPr>
            <w:rFonts w:eastAsia="Times New Roman" w:cs="Arial"/>
            <w:i/>
            <w:iCs/>
            <w:color w:val="0000FF"/>
            <w:sz w:val="20"/>
            <w:szCs w:val="20"/>
            <w:u w:val="single"/>
          </w:rPr>
          <w:t>DEFINITIONS</w:t>
        </w:r>
      </w:hyperlink>
      <w:r w:rsidRPr="000825F9">
        <w:rPr>
          <w:rFonts w:eastAsia="Times New Roman" w:cs="Arial"/>
          <w:i/>
          <w:iCs/>
          <w:sz w:val="20"/>
          <w:szCs w:val="20"/>
        </w:rPr>
        <w:t xml:space="preserve"> | </w:t>
      </w:r>
      <w:hyperlink r:id="rId8" w:anchor="REFERENCES" w:history="1">
        <w:r w:rsidRPr="000825F9">
          <w:rPr>
            <w:rFonts w:eastAsia="Times New Roman" w:cs="Arial"/>
            <w:i/>
            <w:iCs/>
            <w:color w:val="0000FF"/>
            <w:sz w:val="20"/>
            <w:szCs w:val="20"/>
            <w:u w:val="single"/>
          </w:rPr>
          <w:t>REFERENCES</w:t>
        </w:r>
      </w:hyperlink>
      <w:r w:rsidRPr="000825F9">
        <w:rPr>
          <w:rFonts w:eastAsia="Times New Roman" w:cs="Arial"/>
          <w:i/>
          <w:iCs/>
          <w:sz w:val="20"/>
          <w:szCs w:val="20"/>
        </w:rPr>
        <w:t xml:space="preserve"> | </w:t>
      </w:r>
      <w:hyperlink r:id="rId9" w:anchor="WEBSITE" w:history="1">
        <w:r w:rsidRPr="000825F9">
          <w:rPr>
            <w:rFonts w:eastAsia="Times New Roman" w:cs="Arial"/>
            <w:i/>
            <w:iCs/>
            <w:color w:val="0000FF"/>
            <w:sz w:val="20"/>
            <w:szCs w:val="20"/>
            <w:u w:val="single"/>
          </w:rPr>
          <w:t>WEBSITE</w:t>
        </w:r>
      </w:hyperlink>
      <w:r w:rsidRPr="000825F9">
        <w:rPr>
          <w:rFonts w:eastAsia="Times New Roman" w:cs="Arial"/>
          <w:i/>
          <w:iCs/>
          <w:sz w:val="20"/>
          <w:szCs w:val="20"/>
        </w:rPr>
        <w:t xml:space="preserve"> | </w:t>
      </w:r>
      <w:hyperlink r:id="rId10" w:anchor="INQUIRIES" w:history="1">
        <w:r w:rsidRPr="000825F9">
          <w:rPr>
            <w:rFonts w:eastAsia="Times New Roman" w:cs="Arial"/>
            <w:i/>
            <w:iCs/>
            <w:color w:val="0000FF"/>
            <w:sz w:val="20"/>
            <w:szCs w:val="20"/>
            <w:u w:val="single"/>
          </w:rPr>
          <w:t>INQUIRIES</w:t>
        </w:r>
      </w:hyperlink>
    </w:p>
    <w:p w:rsidR="000825F9" w:rsidRPr="000825F9" w:rsidRDefault="000825F9" w:rsidP="000825F9">
      <w:pPr>
        <w:spacing w:before="100" w:beforeAutospacing="1" w:after="100" w:afterAutospacing="1" w:line="240" w:lineRule="auto"/>
        <w:rPr>
          <w:rFonts w:eastAsia="Times New Roman" w:cs="Arial"/>
          <w:b/>
          <w:bCs/>
          <w:i/>
          <w:iCs/>
          <w:szCs w:val="24"/>
        </w:rPr>
      </w:pPr>
      <w:r w:rsidRPr="000825F9">
        <w:rPr>
          <w:rFonts w:eastAsia="Times New Roman" w:cs="Arial"/>
          <w:b/>
          <w:bCs/>
          <w:i/>
          <w:iCs/>
          <w:sz w:val="20"/>
          <w:szCs w:val="20"/>
        </w:rPr>
        <w:br/>
      </w:r>
      <w:bookmarkStart w:id="2" w:name="BACKGROUND"/>
      <w:r w:rsidRPr="000825F9">
        <w:rPr>
          <w:rFonts w:eastAsia="Times New Roman" w:cs="Arial"/>
          <w:b/>
          <w:bCs/>
          <w:i/>
          <w:iCs/>
          <w:sz w:val="20"/>
          <w:szCs w:val="20"/>
        </w:rPr>
        <w:t>BACKGROUND</w:t>
      </w:r>
      <w:bookmarkEnd w:id="2"/>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The Workforce Investment Act (WIA) Title I Final Rules (20 CFR Section 667.200) and the "One Stop Comprehensive Financial Management Technical Assistance Guide" (TAG) provides federal direction regarding cost principles and allowable activities.  These documents also refer </w:t>
      </w:r>
      <w:proofErr w:type="spellStart"/>
      <w:r w:rsidRPr="000825F9">
        <w:rPr>
          <w:rFonts w:ascii="Times New Roman" w:eastAsia="Times New Roman" w:hAnsi="Times New Roman" w:cs="Arial"/>
          <w:i/>
          <w:iCs/>
          <w:sz w:val="20"/>
          <w:szCs w:val="20"/>
        </w:rPr>
        <w:t>subrecipients</w:t>
      </w:r>
      <w:proofErr w:type="spellEnd"/>
      <w:r w:rsidRPr="000825F9">
        <w:rPr>
          <w:rFonts w:ascii="Times New Roman" w:eastAsia="Times New Roman" w:hAnsi="Times New Roman" w:cs="Arial"/>
          <w:i/>
          <w:iCs/>
          <w:sz w:val="20"/>
          <w:szCs w:val="20"/>
        </w:rPr>
        <w:t xml:space="preserve"> to the federal Office of Management and Budget (OMB) Circulars for more specific information.  These OMB Circulars provide guidance according to type of organization.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The common rule in OMB Circulars A-102 and A-110 apply respectively to grants and cooperative agreements with states and local governments and federally-recognized Indian Tribal Governments (A-102) and grants and agreements with institutions of higher education, hospitals and non-profit organizations (A-110).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For cost principles and allowable costs see OMB Circular A-87, Cost Principles for State, Local and Indian Governments, OMB Circular A-122, Cost Principles for Non-Profits; and OMB Circular A-21 for Educational Institutions.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Commercial organizations should refer to Title 48 CFR Part 31.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bookmarkStart w:id="3" w:name="POLICY"/>
      <w:r w:rsidRPr="000825F9">
        <w:rPr>
          <w:rFonts w:eastAsia="Times New Roman" w:cs="Arial"/>
          <w:b/>
          <w:bCs/>
          <w:i/>
          <w:iCs/>
          <w:sz w:val="20"/>
          <w:szCs w:val="20"/>
        </w:rPr>
        <w:t>POLICY</w:t>
      </w:r>
      <w:bookmarkEnd w:id="3"/>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u w:val="single"/>
        </w:rPr>
        <w:t>Allowable Costs</w:t>
      </w:r>
      <w:r w:rsidRPr="000825F9">
        <w:rPr>
          <w:rFonts w:ascii="Times New Roman" w:eastAsia="Times New Roman" w:hAnsi="Times New Roman" w:cs="Arial"/>
          <w:i/>
          <w:iCs/>
          <w:sz w:val="20"/>
          <w:szCs w:val="20"/>
        </w:rPr>
        <w:t xml:space="preserve">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Expenditures of WIA funds are allowable only for those activities permitted by the WIA Title I and related regulations.  Allowable activities include core, intensive, and training services.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Core, intensive, and training services are described in Section 134(d</w:t>
      </w:r>
      <w:proofErr w:type="gramStart"/>
      <w:r w:rsidRPr="000825F9">
        <w:rPr>
          <w:rFonts w:ascii="Times New Roman" w:eastAsia="Times New Roman" w:hAnsi="Times New Roman" w:cs="Arial"/>
          <w:i/>
          <w:iCs/>
          <w:sz w:val="20"/>
          <w:szCs w:val="20"/>
        </w:rPr>
        <w:t>)(</w:t>
      </w:r>
      <w:proofErr w:type="gramEnd"/>
      <w:r w:rsidRPr="000825F9">
        <w:rPr>
          <w:rFonts w:ascii="Times New Roman" w:eastAsia="Times New Roman" w:hAnsi="Times New Roman" w:cs="Arial"/>
          <w:i/>
          <w:iCs/>
          <w:sz w:val="20"/>
          <w:szCs w:val="20"/>
        </w:rPr>
        <w:t xml:space="preserve">2), (3), and (4); additional guidance regarding supportive services and needs related payments is provided in this section.  WIA Section 129 details the allowable and unallowable activities for the youth program. </w:t>
      </w:r>
    </w:p>
    <w:p w:rsidR="000825F9" w:rsidRPr="000825F9" w:rsidRDefault="000825F9" w:rsidP="000825F9">
      <w:pPr>
        <w:spacing w:before="100" w:beforeAutospacing="1" w:after="100" w:afterAutospacing="1" w:line="240" w:lineRule="auto"/>
        <w:rPr>
          <w:rFonts w:eastAsia="Times New Roman" w:cs="Arial"/>
          <w:i/>
          <w:iCs/>
          <w:szCs w:val="24"/>
        </w:rPr>
      </w:pPr>
      <w:r w:rsidRPr="000825F9">
        <w:rPr>
          <w:rFonts w:eastAsia="Times New Roman" w:cs="Arial"/>
          <w:i/>
          <w:iCs/>
          <w:sz w:val="20"/>
          <w:szCs w:val="20"/>
        </w:rPr>
        <w:lastRenderedPageBreak/>
        <w:t xml:space="preserve">Sections 667.260 through 667.270 and Section 661.310 of the Final Rules describe prohibitions against specific activities.  When planning a program or expenditures, recipients of WIA funds are advised to review all relevant federal documents.  OMB circulars provide general principles and guidance on selected items and describe allowable and unallowable costs.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u w:val="single"/>
        </w:rPr>
        <w:t>Prior Approval of Certain Costs</w:t>
      </w:r>
      <w:r w:rsidRPr="000825F9">
        <w:rPr>
          <w:rFonts w:ascii="Times New Roman" w:eastAsia="Times New Roman" w:hAnsi="Times New Roman" w:cs="Arial"/>
          <w:i/>
          <w:iCs/>
          <w:sz w:val="20"/>
          <w:szCs w:val="20"/>
        </w:rPr>
        <w:t xml:space="preserve">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Some equipment and capital expenditures are allowable only if approval is granted prior to the purchase.  The WIA Final Rules, Section 667.200(c) delegates the authority for granting prior approval for those selected items to the Governor or his designee.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Section 667.260 prohibits the purchase or construction of facilities.  Some exceptions regarding renovation and repair are permitted as detailed in the section.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In accordance with OMB Circular A-122 Section 15, Employment Security requires that all entities receiving WIA funds request and obtain prior approval for all single item equipment and capital improvement purchases that cost $5,000 or more.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OMB Circular A-122, Section 15.b (1) states: </w:t>
      </w:r>
    </w:p>
    <w:p w:rsidR="000825F9" w:rsidRPr="000825F9" w:rsidRDefault="000825F9" w:rsidP="000825F9">
      <w:pPr>
        <w:spacing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“Capital expenditures for general purpose equipment are unallowable as a direct cost except with the prior approval of awarding agency.”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OMB Circular A-87, Attachment B, Section </w:t>
      </w:r>
      <w:proofErr w:type="gramStart"/>
      <w:r w:rsidRPr="000825F9">
        <w:rPr>
          <w:rFonts w:ascii="Times New Roman" w:eastAsia="Times New Roman" w:hAnsi="Times New Roman" w:cs="Arial"/>
          <w:i/>
          <w:iCs/>
          <w:sz w:val="20"/>
          <w:szCs w:val="20"/>
        </w:rPr>
        <w:t>19.b.,</w:t>
      </w:r>
      <w:proofErr w:type="gramEnd"/>
      <w:r w:rsidRPr="000825F9">
        <w:rPr>
          <w:rFonts w:ascii="Times New Roman" w:eastAsia="Times New Roman" w:hAnsi="Times New Roman" w:cs="Arial"/>
          <w:i/>
          <w:iCs/>
          <w:sz w:val="20"/>
          <w:szCs w:val="20"/>
        </w:rPr>
        <w:t xml:space="preserve"> and 19.c., state: </w:t>
      </w:r>
    </w:p>
    <w:p w:rsidR="000825F9" w:rsidRPr="000825F9" w:rsidRDefault="000825F9" w:rsidP="000825F9">
      <w:pPr>
        <w:numPr>
          <w:ilvl w:val="0"/>
          <w:numId w:val="1"/>
        </w:numPr>
        <w:spacing w:beforeAutospacing="1" w:after="100" w:afterAutospacing="1" w:line="240" w:lineRule="auto"/>
        <w:ind w:left="1440"/>
        <w:rPr>
          <w:rFonts w:eastAsia="Times New Roman" w:cs="Arial"/>
          <w:i/>
          <w:iCs/>
          <w:sz w:val="20"/>
          <w:szCs w:val="20"/>
        </w:rPr>
      </w:pPr>
      <w:r w:rsidRPr="000825F9">
        <w:rPr>
          <w:rFonts w:eastAsia="Times New Roman" w:cs="Arial"/>
          <w:i/>
          <w:iCs/>
          <w:sz w:val="20"/>
          <w:szCs w:val="20"/>
        </w:rPr>
        <w:t>Capital expenditures which are not charged directly to a Federal award may be recovered through use allowances or depreciation on buildings, capital improvements, and equipment (see Section 15).  See also Section 38 for allowable rental costs for buildings and equipment.</w:t>
      </w:r>
      <w:r w:rsidRPr="000825F9">
        <w:rPr>
          <w:rFonts w:eastAsia="Times New Roman" w:cs="Arial"/>
          <w:i/>
          <w:iCs/>
          <w:sz w:val="20"/>
          <w:szCs w:val="20"/>
        </w:rPr>
        <w:br/>
      </w:r>
    </w:p>
    <w:p w:rsidR="000825F9" w:rsidRPr="000825F9" w:rsidRDefault="000825F9" w:rsidP="000825F9">
      <w:pPr>
        <w:numPr>
          <w:ilvl w:val="0"/>
          <w:numId w:val="1"/>
        </w:numPr>
        <w:spacing w:before="100" w:beforeAutospacing="1" w:after="100" w:afterAutospacing="1" w:line="240" w:lineRule="auto"/>
        <w:ind w:left="1440"/>
        <w:rPr>
          <w:rFonts w:eastAsia="Times New Roman" w:cs="Arial"/>
          <w:i/>
          <w:iCs/>
          <w:sz w:val="20"/>
          <w:szCs w:val="20"/>
        </w:rPr>
      </w:pPr>
      <w:r w:rsidRPr="000825F9">
        <w:rPr>
          <w:rFonts w:eastAsia="Times New Roman" w:cs="Arial"/>
          <w:i/>
          <w:iCs/>
          <w:sz w:val="20"/>
          <w:szCs w:val="20"/>
        </w:rPr>
        <w:t>Capital expenditures for equipment, including replacement equipment, other capital assets, and improvements which materially increase the value of useful life of equipment or other capital assets are allowable as a direct cost when approved by the awarding agency.  Federal awarding agencies are authorized at their option to waive or delegate this approval requirement.</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If an item requires prior approval a written request must be submitted, using the attached form, to: </w:t>
      </w:r>
    </w:p>
    <w:p w:rsidR="000825F9" w:rsidRPr="000825F9" w:rsidRDefault="000825F9" w:rsidP="000825F9">
      <w:pPr>
        <w:spacing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Deputy Assistant Commissioner</w:t>
      </w:r>
      <w:r w:rsidRPr="000825F9">
        <w:rPr>
          <w:rFonts w:ascii="Times New Roman" w:eastAsia="Times New Roman" w:hAnsi="Times New Roman" w:cs="Arial"/>
          <w:i/>
          <w:iCs/>
          <w:sz w:val="20"/>
          <w:szCs w:val="20"/>
        </w:rPr>
        <w:br/>
        <w:t xml:space="preserve">Employment Security Department </w:t>
      </w:r>
      <w:r w:rsidRPr="000825F9">
        <w:rPr>
          <w:rFonts w:ascii="Times New Roman" w:eastAsia="Times New Roman" w:hAnsi="Times New Roman" w:cs="Arial"/>
          <w:i/>
          <w:iCs/>
          <w:sz w:val="20"/>
          <w:szCs w:val="20"/>
        </w:rPr>
        <w:br/>
        <w:t>Employment and Training Division, Workforce Administration</w:t>
      </w:r>
      <w:r w:rsidRPr="000825F9">
        <w:rPr>
          <w:rFonts w:ascii="Times New Roman" w:eastAsia="Times New Roman" w:hAnsi="Times New Roman" w:cs="Arial"/>
          <w:i/>
          <w:iCs/>
          <w:sz w:val="20"/>
          <w:szCs w:val="20"/>
        </w:rPr>
        <w:tab/>
      </w:r>
      <w:r w:rsidRPr="000825F9">
        <w:rPr>
          <w:rFonts w:ascii="Times New Roman" w:eastAsia="Times New Roman" w:hAnsi="Times New Roman" w:cs="Arial"/>
          <w:i/>
          <w:iCs/>
          <w:sz w:val="20"/>
          <w:szCs w:val="20"/>
        </w:rPr>
        <w:tab/>
      </w:r>
      <w:r w:rsidRPr="000825F9">
        <w:rPr>
          <w:rFonts w:ascii="Times New Roman" w:eastAsia="Times New Roman" w:hAnsi="Times New Roman" w:cs="Arial"/>
          <w:i/>
          <w:iCs/>
          <w:sz w:val="20"/>
          <w:szCs w:val="20"/>
        </w:rPr>
        <w:br/>
        <w:t>P.O. Box 9046</w:t>
      </w:r>
      <w:r w:rsidRPr="000825F9">
        <w:rPr>
          <w:rFonts w:ascii="Times New Roman" w:eastAsia="Times New Roman" w:hAnsi="Times New Roman" w:cs="Arial"/>
          <w:i/>
          <w:iCs/>
          <w:sz w:val="20"/>
          <w:szCs w:val="20"/>
        </w:rPr>
        <w:tab/>
      </w:r>
      <w:r w:rsidRPr="000825F9">
        <w:rPr>
          <w:rFonts w:ascii="Times New Roman" w:eastAsia="Times New Roman" w:hAnsi="Times New Roman" w:cs="Arial"/>
          <w:i/>
          <w:iCs/>
          <w:sz w:val="20"/>
          <w:szCs w:val="20"/>
        </w:rPr>
        <w:tab/>
      </w:r>
      <w:r w:rsidRPr="000825F9">
        <w:rPr>
          <w:rFonts w:ascii="Times New Roman" w:eastAsia="Times New Roman" w:hAnsi="Times New Roman" w:cs="Arial"/>
          <w:i/>
          <w:iCs/>
          <w:sz w:val="20"/>
          <w:szCs w:val="20"/>
        </w:rPr>
        <w:br/>
      </w:r>
      <w:proofErr w:type="gramStart"/>
      <w:r w:rsidRPr="000825F9">
        <w:rPr>
          <w:rFonts w:ascii="Times New Roman" w:eastAsia="Times New Roman" w:hAnsi="Times New Roman" w:cs="Arial"/>
          <w:i/>
          <w:iCs/>
          <w:sz w:val="20"/>
          <w:szCs w:val="20"/>
        </w:rPr>
        <w:t>Olympia ,</w:t>
      </w:r>
      <w:proofErr w:type="gramEnd"/>
      <w:r w:rsidRPr="000825F9">
        <w:rPr>
          <w:rFonts w:ascii="Times New Roman" w:eastAsia="Times New Roman" w:hAnsi="Times New Roman" w:cs="Arial"/>
          <w:i/>
          <w:iCs/>
          <w:sz w:val="20"/>
          <w:szCs w:val="20"/>
        </w:rPr>
        <w:t xml:space="preserve"> WA   98507-9046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Each Workforce Development Area is required to have a local allowable cost and prior approval policy.  It should include a process for the approval of expenditures of $5000 or more for equipment requested by subcontractors. </w:t>
      </w:r>
    </w:p>
    <w:p w:rsidR="000825F9" w:rsidRPr="000825F9" w:rsidRDefault="000825F9" w:rsidP="000825F9">
      <w:pPr>
        <w:spacing w:before="100" w:beforeAutospacing="1" w:after="100" w:afterAutospacing="1" w:line="240" w:lineRule="auto"/>
        <w:outlineLvl w:val="1"/>
        <w:rPr>
          <w:rFonts w:eastAsia="Times New Roman" w:cs="Arial"/>
          <w:b/>
          <w:bCs/>
          <w:i/>
          <w:iCs/>
          <w:sz w:val="36"/>
          <w:szCs w:val="36"/>
        </w:rPr>
      </w:pPr>
      <w:bookmarkStart w:id="4" w:name="DEFINITIONS"/>
      <w:r w:rsidRPr="000825F9">
        <w:rPr>
          <w:rFonts w:eastAsia="Times New Roman" w:cs="Arial"/>
          <w:b/>
          <w:bCs/>
          <w:i/>
          <w:iCs/>
          <w:sz w:val="20"/>
          <w:szCs w:val="20"/>
        </w:rPr>
        <w:t>DEFINITIONS</w:t>
      </w:r>
      <w:bookmarkEnd w:id="4"/>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OMB Circular A-87, Attachment B, Section 19a defines equipment and other capital expenditures as follows: </w:t>
      </w:r>
    </w:p>
    <w:p w:rsidR="000825F9" w:rsidRPr="000825F9" w:rsidRDefault="000825F9" w:rsidP="000825F9">
      <w:pPr>
        <w:spacing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b/>
          <w:i/>
          <w:iCs/>
          <w:sz w:val="20"/>
          <w:szCs w:val="20"/>
        </w:rPr>
        <w:t>Capital expenditure</w:t>
      </w:r>
      <w:r w:rsidRPr="000825F9">
        <w:rPr>
          <w:rFonts w:ascii="Times New Roman" w:eastAsia="Times New Roman" w:hAnsi="Times New Roman" w:cs="Arial"/>
          <w:i/>
          <w:iCs/>
          <w:sz w:val="20"/>
          <w:szCs w:val="20"/>
        </w:rPr>
        <w:t xml:space="preserve"> means the cost of the asset including the cost to put it in place. Capital expenditure for equipment means the net invoice price of the equipment, including the cost of any modifications, attachments, </w:t>
      </w:r>
      <w:r w:rsidRPr="000825F9">
        <w:rPr>
          <w:rFonts w:ascii="Times New Roman" w:eastAsia="Times New Roman" w:hAnsi="Times New Roman" w:cs="Arial"/>
          <w:i/>
          <w:iCs/>
          <w:sz w:val="20"/>
          <w:szCs w:val="20"/>
        </w:rPr>
        <w:lastRenderedPageBreak/>
        <w:t xml:space="preserve">accessories, or auxiliary apparatus necessary to make it usable for the purpose for which it is to be acquired. Ancillary charges - - - - accounting practices.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b/>
          <w:i/>
          <w:iCs/>
          <w:sz w:val="20"/>
          <w:szCs w:val="20"/>
        </w:rPr>
        <w:t>Equipment</w:t>
      </w:r>
      <w:r w:rsidRPr="000825F9">
        <w:rPr>
          <w:rFonts w:ascii="Times New Roman" w:eastAsia="Times New Roman" w:hAnsi="Times New Roman" w:cs="Arial"/>
          <w:i/>
          <w:iCs/>
          <w:sz w:val="20"/>
          <w:szCs w:val="20"/>
        </w:rPr>
        <w:t xml:space="preserve"> means an article of non-expendable, tangible personal property having a useful life of more than one year and an acquisition cost which equals the lesser of (a) the capitalization level established by the governmental unit for financial statement purposes or (b) $5,000.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b/>
          <w:i/>
          <w:iCs/>
          <w:sz w:val="20"/>
          <w:szCs w:val="20"/>
        </w:rPr>
        <w:t>Other capital assets</w:t>
      </w:r>
      <w:r w:rsidRPr="000825F9">
        <w:rPr>
          <w:rFonts w:ascii="Times New Roman" w:eastAsia="Times New Roman" w:hAnsi="Times New Roman" w:cs="Arial"/>
          <w:i/>
          <w:iCs/>
          <w:sz w:val="20"/>
          <w:szCs w:val="20"/>
        </w:rPr>
        <w:t xml:space="preserve"> mean buildings, land, and improvements to buildings or land that materially increase their value of useful life. </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r w:rsidRPr="000825F9">
        <w:rPr>
          <w:rFonts w:ascii="Times New Roman" w:eastAsia="Times New Roman" w:hAnsi="Times New Roman" w:cs="Arial"/>
          <w:i/>
          <w:iCs/>
          <w:sz w:val="20"/>
          <w:szCs w:val="20"/>
        </w:rPr>
        <w:t xml:space="preserve">OMB Circular A-122 has similar language, but should be reviewed for specific requirements related to non-profit organizations. </w:t>
      </w:r>
    </w:p>
    <w:p w:rsidR="000825F9" w:rsidRPr="000825F9" w:rsidRDefault="000825F9" w:rsidP="000825F9">
      <w:pPr>
        <w:spacing w:before="100" w:beforeAutospacing="1" w:after="100" w:afterAutospacing="1" w:line="240" w:lineRule="auto"/>
        <w:rPr>
          <w:rFonts w:eastAsia="Times New Roman" w:cs="Arial"/>
          <w:i/>
          <w:iCs/>
          <w:szCs w:val="24"/>
        </w:rPr>
      </w:pPr>
      <w:r w:rsidRPr="000825F9">
        <w:rPr>
          <w:rFonts w:eastAsia="Times New Roman" w:cs="Arial"/>
          <w:i/>
          <w:iCs/>
          <w:sz w:val="20"/>
          <w:szCs w:val="20"/>
        </w:rPr>
        <w:br/>
      </w:r>
      <w:bookmarkStart w:id="5" w:name="REFERENCES"/>
      <w:r w:rsidRPr="000825F9">
        <w:rPr>
          <w:rFonts w:eastAsia="Times New Roman" w:cs="Arial"/>
          <w:b/>
          <w:bCs/>
          <w:i/>
          <w:iCs/>
          <w:sz w:val="20"/>
          <w:szCs w:val="20"/>
        </w:rPr>
        <w:t>REFERENCES</w:t>
      </w:r>
      <w:r w:rsidRPr="000825F9">
        <w:rPr>
          <w:rFonts w:eastAsia="Times New Roman" w:cs="Arial"/>
          <w:b/>
          <w:bCs/>
          <w:i/>
          <w:iCs/>
          <w:sz w:val="20"/>
          <w:szCs w:val="20"/>
        </w:rPr>
        <w:br/>
      </w:r>
      <w:r w:rsidRPr="000825F9">
        <w:rPr>
          <w:rFonts w:eastAsia="Times New Roman" w:cs="Arial"/>
          <w:b/>
          <w:bCs/>
          <w:i/>
          <w:iCs/>
          <w:sz w:val="20"/>
          <w:szCs w:val="20"/>
        </w:rPr>
        <w:br/>
      </w:r>
      <w:bookmarkEnd w:id="5"/>
      <w:proofErr w:type="gramStart"/>
      <w:r w:rsidRPr="000825F9">
        <w:rPr>
          <w:rFonts w:eastAsia="Times New Roman" w:cs="Arial"/>
          <w:i/>
          <w:iCs/>
          <w:sz w:val="20"/>
          <w:szCs w:val="20"/>
        </w:rPr>
        <w:t>All</w:t>
      </w:r>
      <w:proofErr w:type="gramEnd"/>
      <w:r w:rsidRPr="000825F9">
        <w:rPr>
          <w:rFonts w:eastAsia="Times New Roman" w:cs="Arial"/>
          <w:i/>
          <w:iCs/>
          <w:sz w:val="20"/>
          <w:szCs w:val="20"/>
        </w:rPr>
        <w:t xml:space="preserve"> fiscal policies and guidance letters published for WIA are governed, as appropriate, under:</w:t>
      </w:r>
    </w:p>
    <w:p w:rsidR="000825F9" w:rsidRPr="000825F9" w:rsidRDefault="000825F9" w:rsidP="000825F9">
      <w:pPr>
        <w:numPr>
          <w:ilvl w:val="0"/>
          <w:numId w:val="2"/>
        </w:numPr>
        <w:spacing w:before="100" w:beforeAutospacing="1" w:after="100" w:afterAutospacing="1" w:line="240" w:lineRule="auto"/>
        <w:rPr>
          <w:rFonts w:eastAsia="Times New Roman" w:cs="Arial"/>
          <w:i/>
          <w:iCs/>
          <w:szCs w:val="24"/>
        </w:rPr>
      </w:pPr>
      <w:r w:rsidRPr="000825F9">
        <w:rPr>
          <w:rFonts w:eastAsia="Times New Roman" w:cs="Arial"/>
          <w:i/>
          <w:iCs/>
          <w:sz w:val="20"/>
          <w:szCs w:val="20"/>
        </w:rPr>
        <w:t>Public Law 105-200</w:t>
      </w:r>
    </w:p>
    <w:p w:rsidR="000825F9" w:rsidRPr="000825F9" w:rsidRDefault="000825F9" w:rsidP="000825F9">
      <w:pPr>
        <w:numPr>
          <w:ilvl w:val="0"/>
          <w:numId w:val="2"/>
        </w:numPr>
        <w:spacing w:before="100" w:beforeAutospacing="1" w:after="100" w:afterAutospacing="1" w:line="240" w:lineRule="auto"/>
        <w:rPr>
          <w:rFonts w:eastAsia="Times New Roman" w:cs="Arial"/>
          <w:i/>
          <w:iCs/>
          <w:szCs w:val="24"/>
        </w:rPr>
      </w:pPr>
      <w:r w:rsidRPr="000825F9">
        <w:rPr>
          <w:rFonts w:eastAsia="Times New Roman" w:cs="Arial"/>
          <w:i/>
          <w:iCs/>
          <w:sz w:val="20"/>
          <w:szCs w:val="20"/>
        </w:rPr>
        <w:t>20 CFR Part 652</w:t>
      </w:r>
    </w:p>
    <w:p w:rsidR="000825F9" w:rsidRPr="000825F9" w:rsidRDefault="000825F9" w:rsidP="000825F9">
      <w:pPr>
        <w:numPr>
          <w:ilvl w:val="0"/>
          <w:numId w:val="2"/>
        </w:numPr>
        <w:spacing w:before="100" w:beforeAutospacing="1" w:after="100" w:afterAutospacing="1" w:line="240" w:lineRule="auto"/>
        <w:rPr>
          <w:rFonts w:eastAsia="Times New Roman" w:cs="Arial"/>
          <w:i/>
          <w:iCs/>
          <w:szCs w:val="24"/>
        </w:rPr>
      </w:pPr>
      <w:r w:rsidRPr="000825F9">
        <w:rPr>
          <w:rFonts w:eastAsia="Times New Roman" w:cs="Arial"/>
          <w:i/>
          <w:iCs/>
          <w:sz w:val="20"/>
          <w:szCs w:val="20"/>
        </w:rPr>
        <w:t>OMB Circular A-122, Cost Principles for Non-Profits</w:t>
      </w:r>
    </w:p>
    <w:p w:rsidR="000825F9" w:rsidRPr="000825F9" w:rsidRDefault="000825F9" w:rsidP="000825F9">
      <w:pPr>
        <w:numPr>
          <w:ilvl w:val="0"/>
          <w:numId w:val="2"/>
        </w:numPr>
        <w:spacing w:before="100" w:beforeAutospacing="1" w:after="100" w:afterAutospacing="1" w:line="240" w:lineRule="auto"/>
        <w:rPr>
          <w:rFonts w:eastAsia="Times New Roman" w:cs="Arial"/>
          <w:i/>
          <w:iCs/>
          <w:szCs w:val="24"/>
        </w:rPr>
      </w:pPr>
      <w:r w:rsidRPr="000825F9">
        <w:rPr>
          <w:rFonts w:eastAsia="Times New Roman" w:cs="Arial"/>
          <w:i/>
          <w:iCs/>
          <w:sz w:val="20"/>
          <w:szCs w:val="20"/>
        </w:rPr>
        <w:t>OMB Circular A-133, Audit of State and Local Government</w:t>
      </w:r>
    </w:p>
    <w:p w:rsidR="000825F9" w:rsidRPr="000825F9" w:rsidRDefault="000825F9" w:rsidP="000825F9">
      <w:pPr>
        <w:numPr>
          <w:ilvl w:val="0"/>
          <w:numId w:val="2"/>
        </w:numPr>
        <w:spacing w:before="100" w:beforeAutospacing="1" w:after="100" w:afterAutospacing="1" w:line="240" w:lineRule="auto"/>
        <w:rPr>
          <w:rFonts w:eastAsia="Times New Roman" w:cs="Arial"/>
          <w:i/>
          <w:iCs/>
          <w:szCs w:val="24"/>
        </w:rPr>
      </w:pPr>
      <w:r w:rsidRPr="000825F9">
        <w:rPr>
          <w:rFonts w:eastAsia="Times New Roman" w:cs="Arial"/>
          <w:i/>
          <w:iCs/>
          <w:sz w:val="20"/>
          <w:szCs w:val="20"/>
        </w:rPr>
        <w:t>OMB Circular A-133, Compliance Supplement</w:t>
      </w:r>
    </w:p>
    <w:p w:rsidR="000825F9" w:rsidRPr="000825F9" w:rsidRDefault="000825F9" w:rsidP="000825F9">
      <w:pPr>
        <w:numPr>
          <w:ilvl w:val="0"/>
          <w:numId w:val="2"/>
        </w:numPr>
        <w:spacing w:before="100" w:beforeAutospacing="1" w:after="100" w:afterAutospacing="1" w:line="240" w:lineRule="auto"/>
        <w:rPr>
          <w:rFonts w:eastAsia="Times New Roman" w:cs="Arial"/>
          <w:i/>
          <w:iCs/>
          <w:szCs w:val="24"/>
        </w:rPr>
      </w:pPr>
      <w:r w:rsidRPr="000825F9">
        <w:rPr>
          <w:rFonts w:eastAsia="Times New Roman" w:cs="Arial"/>
          <w:i/>
          <w:iCs/>
          <w:sz w:val="20"/>
          <w:szCs w:val="20"/>
        </w:rPr>
        <w:t>OMB Circular A-21, Cost Principles for Educational Institutions</w:t>
      </w:r>
    </w:p>
    <w:p w:rsidR="000825F9" w:rsidRPr="000825F9" w:rsidRDefault="000825F9" w:rsidP="000825F9">
      <w:pPr>
        <w:numPr>
          <w:ilvl w:val="0"/>
          <w:numId w:val="2"/>
        </w:numPr>
        <w:spacing w:before="100" w:beforeAutospacing="1" w:after="100" w:afterAutospacing="1" w:line="240" w:lineRule="auto"/>
        <w:rPr>
          <w:rFonts w:eastAsia="Times New Roman" w:cs="Arial"/>
          <w:i/>
          <w:iCs/>
          <w:szCs w:val="24"/>
        </w:rPr>
      </w:pPr>
      <w:r w:rsidRPr="000825F9">
        <w:rPr>
          <w:rFonts w:eastAsia="Times New Roman" w:cs="Arial"/>
          <w:i/>
          <w:iCs/>
          <w:sz w:val="20"/>
          <w:szCs w:val="20"/>
        </w:rPr>
        <w:t xml:space="preserve">OMB Circular A-87, Revised Cost Principles for State and Local Government and </w:t>
      </w:r>
      <w:r w:rsidRPr="000825F9">
        <w:rPr>
          <w:rFonts w:eastAsia="Times New Roman" w:cs="Arial"/>
          <w:i/>
          <w:iCs/>
          <w:sz w:val="20"/>
          <w:szCs w:val="20"/>
        </w:rPr>
        <w:br/>
        <w:t>Indian Tribal Government</w:t>
      </w:r>
    </w:p>
    <w:p w:rsidR="000825F9" w:rsidRPr="000825F9" w:rsidRDefault="000825F9" w:rsidP="000825F9">
      <w:pPr>
        <w:numPr>
          <w:ilvl w:val="0"/>
          <w:numId w:val="2"/>
        </w:numPr>
        <w:spacing w:before="100" w:beforeAutospacing="1" w:after="100" w:afterAutospacing="1" w:line="240" w:lineRule="auto"/>
        <w:rPr>
          <w:rFonts w:eastAsia="Times New Roman" w:cs="Arial"/>
          <w:i/>
          <w:iCs/>
          <w:szCs w:val="24"/>
        </w:rPr>
      </w:pPr>
      <w:r w:rsidRPr="000825F9">
        <w:rPr>
          <w:rFonts w:eastAsia="Times New Roman" w:cs="Arial"/>
          <w:i/>
          <w:iCs/>
          <w:sz w:val="20"/>
          <w:szCs w:val="20"/>
        </w:rPr>
        <w:t>Federal Register Vol. 65, No.124, Resources Sharing for workforce Investment Act</w:t>
      </w:r>
      <w:r w:rsidRPr="000825F9">
        <w:rPr>
          <w:rFonts w:eastAsia="Times New Roman" w:cs="Arial"/>
          <w:i/>
          <w:iCs/>
          <w:sz w:val="20"/>
          <w:szCs w:val="20"/>
        </w:rPr>
        <w:br/>
        <w:t>One-Stop Centers</w:t>
      </w:r>
    </w:p>
    <w:p w:rsidR="000825F9" w:rsidRPr="000825F9" w:rsidRDefault="000825F9" w:rsidP="000825F9">
      <w:pPr>
        <w:numPr>
          <w:ilvl w:val="0"/>
          <w:numId w:val="2"/>
        </w:numPr>
        <w:spacing w:before="100" w:beforeAutospacing="1" w:after="100" w:afterAutospacing="1" w:line="240" w:lineRule="auto"/>
        <w:rPr>
          <w:rFonts w:eastAsia="Times New Roman" w:cs="Arial"/>
          <w:i/>
          <w:iCs/>
          <w:szCs w:val="24"/>
        </w:rPr>
      </w:pPr>
      <w:r w:rsidRPr="000825F9">
        <w:rPr>
          <w:rFonts w:eastAsia="Times New Roman" w:cs="Arial"/>
          <w:i/>
          <w:iCs/>
          <w:sz w:val="20"/>
          <w:szCs w:val="20"/>
        </w:rPr>
        <w:t>Generally Accepted Accounting Procedures (GAAP)</w:t>
      </w:r>
    </w:p>
    <w:p w:rsidR="000825F9" w:rsidRPr="000825F9" w:rsidRDefault="000825F9" w:rsidP="000825F9">
      <w:pPr>
        <w:spacing w:before="100" w:beforeAutospacing="1" w:after="100" w:afterAutospacing="1" w:line="240" w:lineRule="auto"/>
        <w:rPr>
          <w:rFonts w:ascii="Times New Roman" w:eastAsia="Times New Roman" w:hAnsi="Times New Roman" w:cs="Times New Roman"/>
          <w:i/>
          <w:iCs/>
          <w:szCs w:val="24"/>
        </w:rPr>
      </w:pPr>
      <w:bookmarkStart w:id="6" w:name="WEBSITE"/>
      <w:r w:rsidRPr="000825F9">
        <w:rPr>
          <w:rFonts w:eastAsia="Times New Roman" w:cs="Arial"/>
          <w:b/>
          <w:bCs/>
          <w:i/>
          <w:iCs/>
          <w:sz w:val="20"/>
          <w:szCs w:val="20"/>
        </w:rPr>
        <w:t>WEBSITE</w:t>
      </w:r>
      <w:r w:rsidRPr="000825F9">
        <w:rPr>
          <w:rFonts w:eastAsia="Times New Roman" w:cs="Arial"/>
          <w:b/>
          <w:bCs/>
          <w:i/>
          <w:iCs/>
          <w:sz w:val="20"/>
          <w:szCs w:val="20"/>
        </w:rPr>
        <w:br/>
      </w:r>
      <w:r w:rsidRPr="000825F9">
        <w:rPr>
          <w:rFonts w:eastAsia="Times New Roman" w:cs="Arial"/>
          <w:b/>
          <w:bCs/>
          <w:i/>
          <w:iCs/>
          <w:sz w:val="20"/>
          <w:szCs w:val="20"/>
        </w:rPr>
        <w:br/>
      </w:r>
      <w:bookmarkEnd w:id="6"/>
      <w:r w:rsidRPr="000825F9">
        <w:rPr>
          <w:rFonts w:ascii="Times New Roman" w:eastAsia="Times New Roman" w:hAnsi="Times New Roman" w:cs="Times New Roman"/>
          <w:i/>
          <w:iCs/>
          <w:szCs w:val="24"/>
        </w:rPr>
        <w:fldChar w:fldCharType="begin"/>
      </w:r>
      <w:r w:rsidRPr="000825F9">
        <w:rPr>
          <w:rFonts w:ascii="Times New Roman" w:eastAsia="Times New Roman" w:hAnsi="Times New Roman" w:cs="Times New Roman"/>
          <w:i/>
          <w:iCs/>
          <w:szCs w:val="24"/>
        </w:rPr>
        <w:instrText xml:space="preserve"> HYPERLINK "http://www.wa.gov/esd/policies/title1b.htm" </w:instrText>
      </w:r>
      <w:r w:rsidRPr="000825F9">
        <w:rPr>
          <w:rFonts w:ascii="Times New Roman" w:eastAsia="Times New Roman" w:hAnsi="Times New Roman" w:cs="Times New Roman"/>
          <w:i/>
          <w:iCs/>
          <w:szCs w:val="24"/>
        </w:rPr>
        <w:fldChar w:fldCharType="separate"/>
      </w:r>
      <w:r w:rsidRPr="000825F9">
        <w:rPr>
          <w:rFonts w:eastAsia="Times New Roman" w:cs="Arial"/>
          <w:i/>
          <w:iCs/>
          <w:color w:val="0000FF"/>
          <w:sz w:val="20"/>
          <w:szCs w:val="20"/>
          <w:u w:val="single"/>
        </w:rPr>
        <w:t>http://www.wa.gov/esd/policies/title1b.htm</w:t>
      </w:r>
      <w:r w:rsidRPr="000825F9">
        <w:rPr>
          <w:rFonts w:ascii="Times New Roman" w:eastAsia="Times New Roman" w:hAnsi="Times New Roman" w:cs="Times New Roman"/>
          <w:i/>
          <w:iCs/>
          <w:szCs w:val="24"/>
        </w:rPr>
        <w:fldChar w:fldCharType="end"/>
      </w:r>
    </w:p>
    <w:p w:rsidR="00F65F93" w:rsidRDefault="000825F9" w:rsidP="000825F9">
      <w:r w:rsidRPr="000825F9">
        <w:rPr>
          <w:rFonts w:eastAsia="Times New Roman" w:cs="Arial"/>
          <w:b/>
          <w:bCs/>
          <w:i/>
          <w:iCs/>
          <w:sz w:val="20"/>
          <w:szCs w:val="20"/>
        </w:rPr>
        <w:t xml:space="preserve">DIRECT </w:t>
      </w:r>
      <w:bookmarkStart w:id="7" w:name="INQUIRIES"/>
      <w:r w:rsidRPr="000825F9">
        <w:rPr>
          <w:rFonts w:eastAsia="Times New Roman" w:cs="Arial"/>
          <w:b/>
          <w:bCs/>
          <w:i/>
          <w:iCs/>
          <w:sz w:val="20"/>
          <w:szCs w:val="20"/>
        </w:rPr>
        <w:t>INQUIRIES</w:t>
      </w:r>
      <w:bookmarkEnd w:id="7"/>
      <w:r w:rsidRPr="000825F9">
        <w:rPr>
          <w:rFonts w:eastAsia="Times New Roman" w:cs="Arial"/>
          <w:b/>
          <w:bCs/>
          <w:i/>
          <w:iCs/>
          <w:sz w:val="20"/>
          <w:szCs w:val="20"/>
        </w:rPr>
        <w:t xml:space="preserve"> TO</w:t>
      </w:r>
      <w:proofErr w:type="gramStart"/>
      <w:r w:rsidRPr="000825F9">
        <w:rPr>
          <w:rFonts w:eastAsia="Times New Roman" w:cs="Arial"/>
          <w:b/>
          <w:bCs/>
          <w:i/>
          <w:iCs/>
          <w:sz w:val="20"/>
          <w:szCs w:val="20"/>
        </w:rPr>
        <w:t>:</w:t>
      </w:r>
      <w:proofErr w:type="gramEnd"/>
      <w:r w:rsidRPr="000825F9">
        <w:rPr>
          <w:rFonts w:eastAsia="Times New Roman" w:cs="Arial"/>
          <w:b/>
          <w:bCs/>
          <w:i/>
          <w:iCs/>
          <w:sz w:val="20"/>
          <w:szCs w:val="20"/>
        </w:rPr>
        <w:br/>
      </w:r>
      <w:r w:rsidRPr="000825F9">
        <w:rPr>
          <w:rFonts w:eastAsia="Times New Roman" w:cs="Arial"/>
          <w:b/>
          <w:bCs/>
          <w:i/>
          <w:iCs/>
          <w:sz w:val="20"/>
          <w:szCs w:val="20"/>
        </w:rPr>
        <w:br/>
      </w:r>
      <w:r w:rsidRPr="000825F9">
        <w:rPr>
          <w:rFonts w:eastAsia="Times New Roman" w:cs="Arial"/>
          <w:i/>
          <w:iCs/>
          <w:sz w:val="20"/>
          <w:szCs w:val="20"/>
        </w:rPr>
        <w:t>Bob Isom</w:t>
      </w:r>
      <w:r w:rsidRPr="000825F9">
        <w:rPr>
          <w:rFonts w:eastAsia="Times New Roman" w:cs="Arial"/>
          <w:i/>
          <w:iCs/>
          <w:sz w:val="20"/>
          <w:szCs w:val="20"/>
        </w:rPr>
        <w:br/>
        <w:t>Telephone: (360) 438-4779</w:t>
      </w:r>
      <w:r w:rsidRPr="000825F9">
        <w:rPr>
          <w:rFonts w:eastAsia="Times New Roman" w:cs="Arial"/>
          <w:i/>
          <w:iCs/>
          <w:sz w:val="20"/>
          <w:szCs w:val="20"/>
        </w:rPr>
        <w:br/>
        <w:t xml:space="preserve">E-mail : </w:t>
      </w:r>
      <w:hyperlink r:id="rId11" w:history="1">
        <w:r w:rsidRPr="000825F9">
          <w:rPr>
            <w:rFonts w:eastAsia="Times New Roman" w:cs="Arial"/>
            <w:i/>
            <w:iCs/>
            <w:color w:val="0000FF"/>
            <w:sz w:val="20"/>
            <w:szCs w:val="20"/>
            <w:u w:val="single"/>
          </w:rPr>
          <w:t>bisom@esd.wa.gov</w:t>
        </w:r>
      </w:hyperlink>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92477"/>
    <w:multiLevelType w:val="multilevel"/>
    <w:tmpl w:val="66B0CB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B8F21B7"/>
    <w:multiLevelType w:val="multilevel"/>
    <w:tmpl w:val="3D70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F9"/>
    <w:rsid w:val="000825F9"/>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F2688-E81F-4B8D-8B3C-BE5EEBBA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78285">
      <w:bodyDiv w:val="1"/>
      <w:marLeft w:val="0"/>
      <w:marRight w:val="0"/>
      <w:marTop w:val="0"/>
      <w:marBottom w:val="0"/>
      <w:divBdr>
        <w:top w:val="none" w:sz="0" w:space="0" w:color="auto"/>
        <w:left w:val="none" w:sz="0" w:space="0" w:color="auto"/>
        <w:bottom w:val="none" w:sz="0" w:space="0" w:color="auto"/>
        <w:right w:val="none" w:sz="0" w:space="0" w:color="auto"/>
      </w:divBdr>
      <w:divsChild>
        <w:div w:id="16124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74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462160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7912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26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gov/esd/1stop/policies/documents/archive/3260.ht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wa.gov/esd/1stop/policies/documents/archive/3260.htm" TargetMode="External"/><Relationship Id="rId11" Type="http://schemas.openxmlformats.org/officeDocument/2006/relationships/hyperlink" Target="mailto:bisom@esd.wa.gov" TargetMode="External"/><Relationship Id="rId5" Type="http://schemas.openxmlformats.org/officeDocument/2006/relationships/hyperlink" Target="http://www.wa.gov/esd/1stop/policies/documents/archive/3260.htm" TargetMode="External"/><Relationship Id="rId15" Type="http://schemas.openxmlformats.org/officeDocument/2006/relationships/customXml" Target="../customXml/item2.xml"/><Relationship Id="rId10" Type="http://schemas.openxmlformats.org/officeDocument/2006/relationships/hyperlink" Target="http://www.wa.gov/esd/1stop/policies/documents/archive/3260.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260.ht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8C7BC-0A10-4116-9180-8C5DA25EF60A}"/>
</file>

<file path=customXml/itemProps2.xml><?xml version="1.0" encoding="utf-8"?>
<ds:datastoreItem xmlns:ds="http://schemas.openxmlformats.org/officeDocument/2006/customXml" ds:itemID="{FD1963D3-17A0-4C72-AA6A-70AC28106395}"/>
</file>

<file path=customXml/itemProps3.xml><?xml version="1.0" encoding="utf-8"?>
<ds:datastoreItem xmlns:ds="http://schemas.openxmlformats.org/officeDocument/2006/customXml" ds:itemID="{39A7BD55-6C39-4A89-8B2A-D02333FE9136}"/>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6150</Characters>
  <Application>Microsoft Office Word</Application>
  <DocSecurity>0</DocSecurity>
  <Lines>51</Lines>
  <Paragraphs>14</Paragraphs>
  <ScaleCrop>false</ScaleCrop>
  <Company>ESD - State Of Washington</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2017-05-18T23:08:00Z</dcterms:created>
  <dcterms:modified xsi:type="dcterms:W3CDTF">2017-05-18T23:09:00Z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