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97" w:rsidRPr="009F0097" w:rsidRDefault="009F0097" w:rsidP="009F0097">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9F0097">
        <w:rPr>
          <w:rFonts w:eastAsia="Times New Roman" w:cs="Arial"/>
          <w:b/>
          <w:bCs/>
          <w:color w:val="FF0000"/>
          <w:szCs w:val="24"/>
        </w:rPr>
        <w:t>Workforce</w:t>
      </w:r>
      <w:bookmarkEnd w:id="0"/>
      <w:r w:rsidRPr="009F0097">
        <w:rPr>
          <w:rFonts w:eastAsia="Times New Roman" w:cs="Arial"/>
          <w:b/>
          <w:bCs/>
          <w:color w:val="FF0000"/>
          <w:szCs w:val="24"/>
        </w:rPr>
        <w:t xml:space="preserve"> Investment Act Title I-B</w:t>
      </w:r>
      <w:r w:rsidRPr="009F0097">
        <w:rPr>
          <w:rFonts w:eastAsia="Times New Roman" w:cs="Arial"/>
          <w:b/>
          <w:bCs/>
          <w:sz w:val="20"/>
          <w:szCs w:val="20"/>
        </w:rPr>
        <w:br/>
        <w:t xml:space="preserve">Washington State Policies </w:t>
      </w:r>
    </w:p>
    <w:p w:rsidR="009F0097" w:rsidRPr="009F0097" w:rsidRDefault="009F0097" w:rsidP="009F0097">
      <w:pPr>
        <w:spacing w:before="100" w:beforeAutospacing="1" w:after="100" w:afterAutospacing="1" w:line="240" w:lineRule="auto"/>
        <w:jc w:val="center"/>
        <w:rPr>
          <w:rFonts w:ascii="Times New Roman" w:eastAsia="Times New Roman" w:hAnsi="Times New Roman" w:cs="Times New Roman"/>
          <w:b/>
          <w:bCs/>
          <w:szCs w:val="24"/>
        </w:rPr>
      </w:pPr>
      <w:r w:rsidRPr="009F0097">
        <w:rPr>
          <w:rFonts w:eastAsia="Times New Roman" w:cs="Arial"/>
          <w:b/>
          <w:bCs/>
          <w:noProof/>
          <w:sz w:val="20"/>
          <w:szCs w:val="20"/>
        </w:rPr>
        <mc:AlternateContent>
          <mc:Choice Requires="wps">
            <w:drawing>
              <wp:inline distT="0" distB="0" distL="0" distR="0">
                <wp:extent cx="5441950" cy="38100"/>
                <wp:effectExtent l="0" t="0" r="0" b="0"/>
                <wp:docPr id="1" name="Rectangle 1" descr="http://www.wa.gov/esd/1stop/policies/documents/archive/325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08494" id="Rectangle 1" o:spid="_x0000_s1026" alt="http://www.wa.gov/esd/1stop/policies/documents/archive/3250.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" filled="f" stroked="f">
                <o:lock v:ext="edit" aspectratio="t"/>
                <w10:anchorlock/>
              </v:rect>
            </w:pict>
          </mc:Fallback>
        </mc:AlternateContent>
      </w:r>
      <w:r w:rsidRPr="009F0097">
        <w:rPr>
          <w:rFonts w:eastAsia="Times New Roman" w:cs="Arial"/>
          <w:b/>
          <w:bCs/>
          <w:sz w:val="20"/>
          <w:szCs w:val="20"/>
        </w:rPr>
        <w:br/>
        <w:t>SECTION B: Fiscal Controls and Accounting Guidelines</w:t>
      </w:r>
    </w:p>
    <w:p w:rsidR="009F0097" w:rsidRPr="009F0097" w:rsidRDefault="009F0097" w:rsidP="009F0097">
      <w:pPr>
        <w:spacing w:before="100" w:beforeAutospacing="1" w:after="100" w:afterAutospacing="1" w:line="240" w:lineRule="auto"/>
        <w:rPr>
          <w:rFonts w:eastAsia="Times New Roman" w:cs="Arial"/>
          <w:i/>
          <w:iCs/>
          <w:sz w:val="20"/>
          <w:szCs w:val="20"/>
        </w:rPr>
      </w:pPr>
      <w:r w:rsidRPr="009F0097">
        <w:rPr>
          <w:rFonts w:eastAsia="Times New Roman" w:cs="Arial"/>
          <w:i/>
          <w:iCs/>
          <w:sz w:val="20"/>
          <w:szCs w:val="20"/>
        </w:rPr>
        <w:t xml:space="preserve">Grantees, </w:t>
      </w:r>
      <w:proofErr w:type="spellStart"/>
      <w:r w:rsidRPr="009F0097">
        <w:rPr>
          <w:rFonts w:eastAsia="Times New Roman" w:cs="Arial"/>
          <w:i/>
          <w:iCs/>
          <w:sz w:val="20"/>
          <w:szCs w:val="20"/>
        </w:rPr>
        <w:t>subrecipients</w:t>
      </w:r>
      <w:proofErr w:type="spellEnd"/>
      <w:r w:rsidRPr="009F0097">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and Washington Administrative Code) Office of Financial Management (OFM) policies, and the Washington State WIA policies.</w:t>
      </w:r>
    </w:p>
    <w:tbl>
      <w:tblPr>
        <w:tblW w:w="7020" w:type="dxa"/>
        <w:tblCellSpacing w:w="15" w:type="dxa"/>
        <w:tblCellMar>
          <w:top w:w="48" w:type="dxa"/>
          <w:left w:w="48" w:type="dxa"/>
          <w:bottom w:w="48" w:type="dxa"/>
          <w:right w:w="48" w:type="dxa"/>
        </w:tblCellMar>
        <w:tblLook w:val="04A0" w:firstRow="1" w:lastRow="0" w:firstColumn="1" w:lastColumn="0" w:noHBand="0" w:noVBand="1"/>
      </w:tblPr>
      <w:tblGrid>
        <w:gridCol w:w="2263"/>
        <w:gridCol w:w="4757"/>
      </w:tblGrid>
      <w:tr w:rsidR="009F0097" w:rsidRPr="009F0097">
        <w:trPr>
          <w:tblCellSpacing w:w="15" w:type="dxa"/>
        </w:trPr>
        <w:tc>
          <w:tcPr>
            <w:tcW w:w="1600" w:type="pct"/>
            <w:vAlign w:val="center"/>
            <w:hideMark/>
          </w:tcPr>
          <w:p w:rsidR="009F0097" w:rsidRPr="009F0097" w:rsidRDefault="009F0097" w:rsidP="009F0097">
            <w:pPr>
              <w:spacing w:after="0" w:line="240" w:lineRule="auto"/>
              <w:rPr>
                <w:rFonts w:ascii="Times New Roman" w:eastAsia="Times New Roman" w:hAnsi="Times New Roman" w:cs="Times New Roman"/>
                <w:szCs w:val="24"/>
              </w:rPr>
            </w:pPr>
            <w:r w:rsidRPr="009F0097">
              <w:rPr>
                <w:rFonts w:eastAsia="Times New Roman" w:cs="Arial"/>
                <w:b/>
                <w:bCs/>
                <w:sz w:val="20"/>
                <w:szCs w:val="20"/>
              </w:rPr>
              <w:t>EFFECTIVE DATE:</w:t>
            </w:r>
            <w:r w:rsidRPr="009F0097">
              <w:rPr>
                <w:rFonts w:eastAsia="Times New Roman" w:cs="Arial"/>
                <w:b/>
                <w:bCs/>
                <w:sz w:val="20"/>
                <w:szCs w:val="20"/>
              </w:rPr>
              <w:br/>
              <w:t>WIA POLICY NUMBER:</w:t>
            </w:r>
            <w:r w:rsidRPr="009F0097">
              <w:rPr>
                <w:rFonts w:eastAsia="Times New Roman" w:cs="Arial"/>
                <w:b/>
                <w:bCs/>
                <w:sz w:val="20"/>
                <w:szCs w:val="20"/>
              </w:rPr>
              <w:br/>
              <w:t>SUBJECT:</w:t>
            </w:r>
          </w:p>
        </w:tc>
        <w:tc>
          <w:tcPr>
            <w:tcW w:w="3400" w:type="pct"/>
            <w:vAlign w:val="center"/>
            <w:hideMark/>
          </w:tcPr>
          <w:p w:rsidR="009F0097" w:rsidRPr="009F0097" w:rsidRDefault="009F0097" w:rsidP="009F0097">
            <w:pPr>
              <w:spacing w:after="0" w:line="240" w:lineRule="auto"/>
              <w:rPr>
                <w:rFonts w:ascii="Times New Roman" w:eastAsia="Times New Roman" w:hAnsi="Times New Roman" w:cs="Times New Roman"/>
                <w:szCs w:val="24"/>
              </w:rPr>
            </w:pPr>
            <w:r w:rsidRPr="009F0097">
              <w:rPr>
                <w:rFonts w:eastAsia="Times New Roman" w:cs="Arial"/>
                <w:sz w:val="20"/>
                <w:szCs w:val="20"/>
              </w:rPr>
              <w:t>June 4, 2001</w:t>
            </w:r>
            <w:r w:rsidRPr="009F0097">
              <w:rPr>
                <w:rFonts w:eastAsia="Times New Roman" w:cs="Arial"/>
                <w:sz w:val="20"/>
                <w:szCs w:val="20"/>
              </w:rPr>
              <w:br/>
              <w:t>3250</w:t>
            </w:r>
            <w:r w:rsidRPr="009F0097">
              <w:rPr>
                <w:rFonts w:eastAsia="Times New Roman" w:cs="Arial"/>
                <w:sz w:val="20"/>
                <w:szCs w:val="20"/>
              </w:rPr>
              <w:br/>
            </w:r>
            <w:proofErr w:type="spellStart"/>
            <w:r w:rsidRPr="009F0097">
              <w:rPr>
                <w:rFonts w:eastAsia="Times New Roman" w:cs="Arial"/>
                <w:sz w:val="20"/>
                <w:szCs w:val="20"/>
              </w:rPr>
              <w:t>Subrecipient</w:t>
            </w:r>
            <w:proofErr w:type="spellEnd"/>
            <w:r w:rsidRPr="009F0097">
              <w:rPr>
                <w:rFonts w:eastAsia="Times New Roman" w:cs="Arial"/>
                <w:sz w:val="20"/>
                <w:szCs w:val="20"/>
              </w:rPr>
              <w:t xml:space="preserve"> Requirements</w:t>
            </w:r>
            <w:r w:rsidRPr="009F0097">
              <w:rPr>
                <w:rFonts w:ascii="Times New Roman" w:eastAsia="Times New Roman" w:hAnsi="Times New Roman" w:cs="Times New Roman"/>
                <w:szCs w:val="24"/>
              </w:rPr>
              <w:t xml:space="preserve"> </w:t>
            </w:r>
          </w:p>
        </w:tc>
      </w:tr>
    </w:tbl>
    <w:p w:rsidR="009F0097" w:rsidRPr="009F0097" w:rsidRDefault="009F0097" w:rsidP="009F0097">
      <w:pPr>
        <w:spacing w:before="100" w:beforeAutospacing="1" w:after="100" w:afterAutospacing="1" w:line="240" w:lineRule="auto"/>
        <w:jc w:val="center"/>
        <w:rPr>
          <w:rFonts w:eastAsia="Times New Roman" w:cs="Arial"/>
          <w:sz w:val="20"/>
          <w:szCs w:val="20"/>
        </w:rPr>
      </w:pPr>
      <w:hyperlink r:id="rId5" w:anchor="BACKGROUND" w:history="1">
        <w:r w:rsidRPr="009F0097">
          <w:rPr>
            <w:rFonts w:eastAsia="Times New Roman" w:cs="Arial"/>
            <w:color w:val="0000FF"/>
            <w:sz w:val="20"/>
            <w:szCs w:val="20"/>
            <w:u w:val="single"/>
          </w:rPr>
          <w:br/>
          <w:t>BACKGROUND</w:t>
        </w:r>
      </w:hyperlink>
      <w:r w:rsidRPr="009F0097">
        <w:rPr>
          <w:rFonts w:eastAsia="Times New Roman" w:cs="Arial"/>
          <w:sz w:val="20"/>
          <w:szCs w:val="20"/>
        </w:rPr>
        <w:t xml:space="preserve"> | </w:t>
      </w:r>
      <w:hyperlink r:id="rId6" w:anchor="POLICY" w:history="1">
        <w:r w:rsidRPr="009F0097">
          <w:rPr>
            <w:rFonts w:eastAsia="Times New Roman" w:cs="Arial"/>
            <w:color w:val="0000FF"/>
            <w:sz w:val="20"/>
            <w:szCs w:val="20"/>
            <w:u w:val="single"/>
          </w:rPr>
          <w:t>POLICY</w:t>
        </w:r>
      </w:hyperlink>
      <w:r w:rsidRPr="009F0097">
        <w:rPr>
          <w:rFonts w:eastAsia="Times New Roman" w:cs="Arial"/>
          <w:sz w:val="20"/>
          <w:szCs w:val="20"/>
        </w:rPr>
        <w:t xml:space="preserve"> | </w:t>
      </w:r>
      <w:hyperlink r:id="rId7" w:anchor="DEFINITIONS" w:history="1">
        <w:r w:rsidRPr="009F0097">
          <w:rPr>
            <w:rFonts w:eastAsia="Times New Roman" w:cs="Arial"/>
            <w:color w:val="0000FF"/>
            <w:sz w:val="20"/>
            <w:szCs w:val="20"/>
            <w:u w:val="single"/>
          </w:rPr>
          <w:t>DEFINITIONS</w:t>
        </w:r>
      </w:hyperlink>
      <w:r w:rsidRPr="009F0097">
        <w:rPr>
          <w:rFonts w:eastAsia="Times New Roman" w:cs="Arial"/>
          <w:sz w:val="20"/>
          <w:szCs w:val="20"/>
        </w:rPr>
        <w:t xml:space="preserve"> | </w:t>
      </w:r>
      <w:hyperlink r:id="rId8" w:anchor="REFERENCES" w:history="1">
        <w:r w:rsidRPr="009F0097">
          <w:rPr>
            <w:rFonts w:eastAsia="Times New Roman" w:cs="Arial"/>
            <w:color w:val="0000FF"/>
            <w:sz w:val="20"/>
            <w:szCs w:val="20"/>
            <w:u w:val="single"/>
          </w:rPr>
          <w:t>REFERENCES</w:t>
        </w:r>
        <w:r w:rsidRPr="009F0097">
          <w:rPr>
            <w:rFonts w:eastAsia="Times New Roman" w:cs="Arial"/>
            <w:color w:val="0000FF"/>
            <w:sz w:val="20"/>
            <w:szCs w:val="20"/>
            <w:u w:val="single"/>
          </w:rPr>
          <w:br/>
        </w:r>
      </w:hyperlink>
      <w:hyperlink r:id="rId9" w:anchor="SUPERSEDES" w:history="1">
        <w:r w:rsidRPr="009F0097">
          <w:rPr>
            <w:rFonts w:eastAsia="Times New Roman" w:cs="Arial"/>
            <w:color w:val="0000FF"/>
            <w:sz w:val="20"/>
            <w:szCs w:val="20"/>
            <w:u w:val="single"/>
          </w:rPr>
          <w:t>SUPERSEDES</w:t>
        </w:r>
      </w:hyperlink>
      <w:r w:rsidRPr="009F0097">
        <w:rPr>
          <w:rFonts w:eastAsia="Times New Roman" w:cs="Arial"/>
          <w:sz w:val="20"/>
          <w:szCs w:val="20"/>
        </w:rPr>
        <w:t xml:space="preserve"> | </w:t>
      </w:r>
      <w:hyperlink r:id="rId10" w:anchor="WEBSITE" w:history="1">
        <w:r w:rsidRPr="009F0097">
          <w:rPr>
            <w:rFonts w:eastAsia="Times New Roman" w:cs="Arial"/>
            <w:color w:val="0000FF"/>
            <w:sz w:val="20"/>
            <w:szCs w:val="20"/>
            <w:u w:val="single"/>
          </w:rPr>
          <w:t>WEBSITE</w:t>
        </w:r>
      </w:hyperlink>
      <w:r w:rsidRPr="009F0097">
        <w:rPr>
          <w:rFonts w:eastAsia="Times New Roman" w:cs="Arial"/>
          <w:sz w:val="20"/>
          <w:szCs w:val="20"/>
        </w:rPr>
        <w:t xml:space="preserve"> | </w:t>
      </w:r>
      <w:hyperlink r:id="rId11" w:anchor="INQUIRIES" w:history="1">
        <w:r w:rsidRPr="009F0097">
          <w:rPr>
            <w:rFonts w:eastAsia="Times New Roman" w:cs="Arial"/>
            <w:color w:val="0000FF"/>
            <w:sz w:val="20"/>
            <w:szCs w:val="20"/>
            <w:u w:val="single"/>
          </w:rPr>
          <w:t>INQUIRIES</w:t>
        </w:r>
      </w:hyperlink>
    </w:p>
    <w:p w:rsidR="009F0097" w:rsidRPr="009F0097" w:rsidRDefault="009F0097" w:rsidP="009F0097">
      <w:pPr>
        <w:spacing w:before="100" w:beforeAutospacing="1" w:after="100" w:afterAutospacing="1" w:line="240" w:lineRule="auto"/>
        <w:rPr>
          <w:rFonts w:eastAsia="Times New Roman" w:cs="Arial"/>
          <w:b/>
          <w:bCs/>
          <w:sz w:val="20"/>
          <w:szCs w:val="20"/>
        </w:rPr>
      </w:pPr>
      <w:bookmarkStart w:id="2" w:name="BACKGROUND"/>
      <w:r w:rsidRPr="009F0097">
        <w:rPr>
          <w:rFonts w:eastAsia="Times New Roman" w:cs="Arial"/>
          <w:b/>
          <w:bCs/>
          <w:sz w:val="20"/>
          <w:szCs w:val="20"/>
        </w:rPr>
        <w:t>BACKGROUND</w:t>
      </w:r>
      <w:bookmarkEnd w:id="2"/>
    </w:p>
    <w:p w:rsidR="009F0097" w:rsidRPr="009F0097" w:rsidRDefault="009F0097" w:rsidP="009F0097">
      <w:pPr>
        <w:spacing w:before="100" w:beforeAutospacing="1" w:after="100" w:afterAutospacing="1" w:line="240" w:lineRule="auto"/>
        <w:rPr>
          <w:rFonts w:eastAsia="Times New Roman" w:cs="Arial"/>
          <w:sz w:val="20"/>
          <w:szCs w:val="20"/>
        </w:rPr>
      </w:pPr>
      <w:r w:rsidRPr="009F0097">
        <w:rPr>
          <w:rFonts w:eastAsia="Times New Roman" w:cs="Arial"/>
          <w:sz w:val="20"/>
          <w:szCs w:val="20"/>
        </w:rPr>
        <w:t>As the Grant Recipient for Workforce Investment Act (WIA) funds in the state of Washington, the Employment Security Department is responsible to ensure that expenditure of all WIA funds, whether at the state or local level, meet the requirements of the Act, regulations, and all related fiscal circulars.</w:t>
      </w:r>
    </w:p>
    <w:p w:rsidR="009F0097" w:rsidRPr="009F0097" w:rsidRDefault="009F0097" w:rsidP="009F0097">
      <w:pPr>
        <w:spacing w:before="100" w:beforeAutospacing="1" w:after="100" w:afterAutospacing="1" w:line="240" w:lineRule="auto"/>
        <w:rPr>
          <w:rFonts w:eastAsia="Times New Roman" w:cs="Arial"/>
          <w:sz w:val="20"/>
          <w:szCs w:val="20"/>
        </w:rPr>
      </w:pPr>
      <w:bookmarkStart w:id="3" w:name="POLICY"/>
      <w:r w:rsidRPr="009F0097">
        <w:rPr>
          <w:rFonts w:eastAsia="Times New Roman" w:cs="Arial"/>
          <w:b/>
          <w:bCs/>
          <w:sz w:val="20"/>
          <w:szCs w:val="20"/>
        </w:rPr>
        <w:t>POLICY</w:t>
      </w:r>
      <w:bookmarkEnd w:id="3"/>
    </w:p>
    <w:p w:rsidR="009F0097" w:rsidRPr="009F0097" w:rsidRDefault="009F0097" w:rsidP="009F0097">
      <w:pPr>
        <w:spacing w:before="100" w:beforeAutospacing="1" w:after="100" w:afterAutospacing="1" w:line="240" w:lineRule="auto"/>
        <w:rPr>
          <w:rFonts w:eastAsia="Times New Roman" w:cs="Arial"/>
          <w:sz w:val="20"/>
          <w:szCs w:val="20"/>
        </w:rPr>
      </w:pPr>
      <w:r w:rsidRPr="009F0097">
        <w:rPr>
          <w:rFonts w:eastAsia="Times New Roman" w:cs="Arial"/>
          <w:sz w:val="20"/>
          <w:szCs w:val="20"/>
        </w:rPr>
        <w:t xml:space="preserve">Fiscal agents for each Workforce Development Council (WDC), and any other entity authorized to subcontract WIA funds, shall include in these subcontracts assurances that acceptable standards for accountability are observed. Additionally, when applicable, such contracts shall ensure that </w:t>
      </w:r>
      <w:proofErr w:type="spellStart"/>
      <w:r w:rsidRPr="009F0097">
        <w:rPr>
          <w:rFonts w:eastAsia="Times New Roman" w:cs="Arial"/>
          <w:sz w:val="20"/>
          <w:szCs w:val="20"/>
        </w:rPr>
        <w:t>subrecipients</w:t>
      </w:r>
      <w:proofErr w:type="spellEnd"/>
      <w:r w:rsidRPr="009F0097">
        <w:rPr>
          <w:rFonts w:eastAsia="Times New Roman" w:cs="Arial"/>
          <w:sz w:val="20"/>
          <w:szCs w:val="20"/>
        </w:rPr>
        <w:t>’ systems provide the necessary information and controls needed to comply with the current regulations published by the Department of Labor. Such information shall include CFDA numbers, mandatory audit requirements, debarments, and the use of all appropriate OMB circulars.</w:t>
      </w:r>
    </w:p>
    <w:p w:rsidR="009F0097" w:rsidRPr="009F0097" w:rsidRDefault="009F0097" w:rsidP="009F0097">
      <w:pPr>
        <w:spacing w:before="100" w:beforeAutospacing="1" w:after="100" w:afterAutospacing="1" w:line="240" w:lineRule="auto"/>
        <w:rPr>
          <w:rFonts w:eastAsia="Times New Roman" w:cs="Arial"/>
          <w:sz w:val="20"/>
          <w:szCs w:val="20"/>
        </w:rPr>
      </w:pPr>
      <w:proofErr w:type="spellStart"/>
      <w:r w:rsidRPr="009F0097">
        <w:rPr>
          <w:rFonts w:eastAsia="Times New Roman" w:cs="Arial"/>
          <w:sz w:val="20"/>
          <w:szCs w:val="20"/>
        </w:rPr>
        <w:t>Subrecipient</w:t>
      </w:r>
      <w:proofErr w:type="spellEnd"/>
      <w:r w:rsidRPr="009F0097">
        <w:rPr>
          <w:rFonts w:eastAsia="Times New Roman" w:cs="Arial"/>
          <w:sz w:val="20"/>
          <w:szCs w:val="20"/>
        </w:rPr>
        <w:t xml:space="preserve"> accounting systems must follow the current Generally Accepted Accounting Principles (GAAP).</w:t>
      </w:r>
    </w:p>
    <w:p w:rsidR="009F0097" w:rsidRPr="009F0097" w:rsidRDefault="009F0097" w:rsidP="009F0097">
      <w:pPr>
        <w:spacing w:before="100" w:beforeAutospacing="1" w:after="100" w:afterAutospacing="1" w:line="240" w:lineRule="auto"/>
        <w:rPr>
          <w:rFonts w:eastAsia="Times New Roman" w:cs="Arial"/>
          <w:b/>
          <w:bCs/>
          <w:sz w:val="20"/>
          <w:szCs w:val="20"/>
        </w:rPr>
      </w:pPr>
      <w:bookmarkStart w:id="4" w:name="DEFINITIONS"/>
      <w:r w:rsidRPr="009F0097">
        <w:rPr>
          <w:rFonts w:eastAsia="Times New Roman" w:cs="Arial"/>
          <w:b/>
          <w:bCs/>
          <w:sz w:val="20"/>
          <w:szCs w:val="20"/>
        </w:rPr>
        <w:t>DEFINITIONS</w:t>
      </w:r>
      <w:bookmarkEnd w:id="4"/>
    </w:p>
    <w:p w:rsidR="009F0097" w:rsidRPr="009F0097" w:rsidRDefault="009F0097" w:rsidP="009F0097">
      <w:pPr>
        <w:spacing w:before="100" w:beforeAutospacing="1" w:after="100" w:afterAutospacing="1" w:line="240" w:lineRule="auto"/>
        <w:rPr>
          <w:rFonts w:eastAsia="Times New Roman" w:cs="Arial"/>
          <w:sz w:val="20"/>
          <w:szCs w:val="20"/>
        </w:rPr>
      </w:pPr>
      <w:r w:rsidRPr="009F0097">
        <w:rPr>
          <w:rFonts w:eastAsia="Times New Roman" w:cs="Arial"/>
          <w:sz w:val="20"/>
          <w:szCs w:val="20"/>
        </w:rPr>
        <w:t>None.</w:t>
      </w:r>
    </w:p>
    <w:p w:rsidR="009F0097" w:rsidRPr="009F0097" w:rsidRDefault="009F0097" w:rsidP="009F0097">
      <w:pPr>
        <w:spacing w:before="100" w:beforeAutospacing="1" w:after="100" w:afterAutospacing="1" w:line="240" w:lineRule="auto"/>
        <w:rPr>
          <w:rFonts w:eastAsia="Times New Roman" w:cs="Arial"/>
          <w:b/>
          <w:bCs/>
          <w:sz w:val="20"/>
          <w:szCs w:val="20"/>
        </w:rPr>
      </w:pPr>
      <w:bookmarkStart w:id="5" w:name="REFERENCES"/>
      <w:r w:rsidRPr="009F0097">
        <w:rPr>
          <w:rFonts w:eastAsia="Times New Roman" w:cs="Arial"/>
          <w:b/>
          <w:bCs/>
          <w:sz w:val="20"/>
          <w:szCs w:val="20"/>
        </w:rPr>
        <w:t>REFERENCES</w:t>
      </w:r>
      <w:bookmarkEnd w:id="5"/>
    </w:p>
    <w:p w:rsidR="009F0097" w:rsidRPr="009F0097" w:rsidRDefault="009F0097" w:rsidP="009F0097">
      <w:pPr>
        <w:spacing w:before="100" w:beforeAutospacing="1" w:after="100" w:afterAutospacing="1" w:line="240" w:lineRule="auto"/>
        <w:rPr>
          <w:rFonts w:eastAsia="Times New Roman" w:cs="Arial"/>
          <w:sz w:val="20"/>
          <w:szCs w:val="20"/>
        </w:rPr>
      </w:pPr>
      <w:r w:rsidRPr="009F0097">
        <w:rPr>
          <w:rFonts w:eastAsia="Times New Roman" w:cs="Arial"/>
          <w:sz w:val="20"/>
          <w:szCs w:val="20"/>
        </w:rPr>
        <w:t>All fiscal policies and guidance letters published for WIA are governed, as appropriate,</w:t>
      </w:r>
      <w:r w:rsidRPr="009F0097">
        <w:rPr>
          <w:rFonts w:eastAsia="Times New Roman" w:cs="Arial"/>
          <w:b/>
          <w:bCs/>
          <w:sz w:val="20"/>
          <w:szCs w:val="20"/>
        </w:rPr>
        <w:t xml:space="preserve"> </w:t>
      </w:r>
      <w:r w:rsidRPr="009F0097">
        <w:rPr>
          <w:rFonts w:eastAsia="Times New Roman" w:cs="Arial"/>
          <w:sz w:val="20"/>
          <w:szCs w:val="20"/>
        </w:rPr>
        <w:t>under:</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Public Law 105-200</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20 CFR Part 652</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29 CFR Part 93</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29 CFR Part 95</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29 CFR Part 98</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lastRenderedPageBreak/>
        <w:t>OMB Circular A-110: Administrative Requirements</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OMB Circular A-122: Cost Principles for Non Profits;</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OMB Circular A-133: Audit of State and Local Government;</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OMB Circular A-133: Compliance Supplement;</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OMB Circular A-21: Cost Principles for Education Institutions;</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OMB Circular A-87: Revised Cost Principles for State and Local Government and Indian Tribal Government</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Federal Register Vol. 65, No. 124: Resource Sharing for Workforce Investment Act One-Stop Centers; and</w:t>
      </w:r>
    </w:p>
    <w:p w:rsidR="009F0097" w:rsidRPr="009F0097" w:rsidRDefault="009F0097" w:rsidP="009F0097">
      <w:pPr>
        <w:numPr>
          <w:ilvl w:val="0"/>
          <w:numId w:val="1"/>
        </w:numPr>
        <w:spacing w:before="100" w:beforeAutospacing="1" w:after="100" w:afterAutospacing="1" w:line="240" w:lineRule="auto"/>
        <w:rPr>
          <w:rFonts w:eastAsia="Times New Roman" w:cs="Arial"/>
          <w:sz w:val="20"/>
          <w:szCs w:val="20"/>
        </w:rPr>
      </w:pPr>
      <w:r w:rsidRPr="009F0097">
        <w:rPr>
          <w:rFonts w:eastAsia="Times New Roman" w:cs="Arial"/>
          <w:sz w:val="20"/>
          <w:szCs w:val="20"/>
        </w:rPr>
        <w:t>Generally Accepted Accounting Procedures (GAAP)</w:t>
      </w:r>
    </w:p>
    <w:p w:rsidR="009F0097" w:rsidRPr="009F0097" w:rsidRDefault="009F0097" w:rsidP="009F0097">
      <w:pPr>
        <w:spacing w:before="100" w:beforeAutospacing="1" w:after="100" w:afterAutospacing="1" w:line="240" w:lineRule="auto"/>
        <w:rPr>
          <w:rFonts w:eastAsia="Times New Roman" w:cs="Arial"/>
          <w:b/>
          <w:bCs/>
          <w:sz w:val="20"/>
          <w:szCs w:val="20"/>
        </w:rPr>
      </w:pPr>
      <w:bookmarkStart w:id="6" w:name="SUPERSEDES"/>
      <w:r w:rsidRPr="009F0097">
        <w:rPr>
          <w:rFonts w:eastAsia="Times New Roman" w:cs="Arial"/>
          <w:b/>
          <w:bCs/>
          <w:sz w:val="20"/>
          <w:szCs w:val="20"/>
        </w:rPr>
        <w:t>SUPERSEDES</w:t>
      </w:r>
      <w:bookmarkEnd w:id="6"/>
    </w:p>
    <w:p w:rsidR="009F0097" w:rsidRPr="009F0097" w:rsidRDefault="009F0097" w:rsidP="009F0097">
      <w:pPr>
        <w:spacing w:before="100" w:beforeAutospacing="1" w:after="100" w:afterAutospacing="1" w:line="240" w:lineRule="auto"/>
        <w:rPr>
          <w:rFonts w:eastAsia="Times New Roman" w:cs="Arial"/>
          <w:sz w:val="20"/>
          <w:szCs w:val="20"/>
        </w:rPr>
      </w:pPr>
      <w:r w:rsidRPr="009F0097">
        <w:rPr>
          <w:rFonts w:eastAsia="Times New Roman" w:cs="Arial"/>
          <w:sz w:val="20"/>
          <w:szCs w:val="20"/>
        </w:rPr>
        <w:t>None. This communication is new.</w:t>
      </w:r>
    </w:p>
    <w:p w:rsidR="009F0097" w:rsidRPr="009F0097" w:rsidRDefault="009F0097" w:rsidP="009F0097">
      <w:pPr>
        <w:spacing w:before="100" w:beforeAutospacing="1" w:after="100" w:afterAutospacing="1" w:line="240" w:lineRule="auto"/>
        <w:rPr>
          <w:rFonts w:eastAsia="Times New Roman" w:cs="Arial"/>
          <w:sz w:val="20"/>
          <w:szCs w:val="20"/>
        </w:rPr>
      </w:pPr>
      <w:bookmarkStart w:id="7" w:name="WEBSITE"/>
      <w:r w:rsidRPr="009F0097">
        <w:rPr>
          <w:rFonts w:eastAsia="Times New Roman" w:cs="Arial"/>
          <w:b/>
          <w:bCs/>
          <w:sz w:val="20"/>
          <w:szCs w:val="20"/>
        </w:rPr>
        <w:t>WEBSITE</w:t>
      </w:r>
      <w:bookmarkEnd w:id="7"/>
    </w:p>
    <w:p w:rsidR="009F0097" w:rsidRPr="009F0097" w:rsidRDefault="009F0097" w:rsidP="009F0097">
      <w:pPr>
        <w:spacing w:before="100" w:beforeAutospacing="1" w:after="100" w:afterAutospacing="1" w:line="240" w:lineRule="auto"/>
        <w:rPr>
          <w:rFonts w:eastAsia="Times New Roman" w:cs="Arial"/>
          <w:sz w:val="20"/>
          <w:szCs w:val="20"/>
        </w:rPr>
      </w:pPr>
      <w:hyperlink r:id="rId12" w:history="1">
        <w:r w:rsidRPr="009F0097">
          <w:rPr>
            <w:rFonts w:eastAsia="Times New Roman" w:cs="Arial"/>
            <w:color w:val="0000FF"/>
            <w:sz w:val="20"/>
            <w:szCs w:val="20"/>
            <w:u w:val="single"/>
          </w:rPr>
          <w:t>http://www.wa.gov/esd/policies/title1b.htm</w:t>
        </w:r>
      </w:hyperlink>
    </w:p>
    <w:p w:rsidR="009F0097" w:rsidRPr="009F0097" w:rsidRDefault="009F0097" w:rsidP="009F0097">
      <w:pPr>
        <w:spacing w:before="100" w:beforeAutospacing="1" w:after="100" w:afterAutospacing="1" w:line="240" w:lineRule="auto"/>
        <w:rPr>
          <w:rFonts w:eastAsia="Times New Roman" w:cs="Arial"/>
          <w:sz w:val="20"/>
          <w:szCs w:val="20"/>
        </w:rPr>
      </w:pPr>
      <w:r w:rsidRPr="009F0097">
        <w:rPr>
          <w:rFonts w:eastAsia="Times New Roman" w:cs="Arial"/>
          <w:b/>
          <w:bCs/>
          <w:sz w:val="20"/>
          <w:szCs w:val="20"/>
        </w:rPr>
        <w:t xml:space="preserve">DIRECT </w:t>
      </w:r>
      <w:bookmarkStart w:id="8" w:name="INQUIRIES"/>
      <w:r w:rsidRPr="009F0097">
        <w:rPr>
          <w:rFonts w:eastAsia="Times New Roman" w:cs="Arial"/>
          <w:b/>
          <w:bCs/>
          <w:sz w:val="20"/>
          <w:szCs w:val="20"/>
        </w:rPr>
        <w:t>INQUIRIES</w:t>
      </w:r>
      <w:bookmarkEnd w:id="8"/>
      <w:r w:rsidRPr="009F0097">
        <w:rPr>
          <w:rFonts w:eastAsia="Times New Roman" w:cs="Arial"/>
          <w:b/>
          <w:bCs/>
          <w:sz w:val="20"/>
          <w:szCs w:val="20"/>
        </w:rPr>
        <w:t xml:space="preserve"> TO</w:t>
      </w:r>
    </w:p>
    <w:p w:rsidR="00F65F93" w:rsidRPr="009F0097" w:rsidRDefault="009F0097" w:rsidP="009F0097">
      <w:r w:rsidRPr="009F0097">
        <w:rPr>
          <w:rFonts w:eastAsia="Times New Roman" w:cs="Arial"/>
          <w:sz w:val="20"/>
          <w:szCs w:val="20"/>
        </w:rPr>
        <w:t>Kim Anensen, Manager</w:t>
      </w:r>
      <w:r w:rsidRPr="009F0097">
        <w:rPr>
          <w:rFonts w:eastAsia="Times New Roman" w:cs="Arial"/>
          <w:sz w:val="20"/>
          <w:szCs w:val="20"/>
        </w:rPr>
        <w:br/>
        <w:t>Employment Security Department</w:t>
      </w:r>
      <w:r w:rsidRPr="009F0097">
        <w:rPr>
          <w:rFonts w:eastAsia="Times New Roman" w:cs="Arial"/>
          <w:sz w:val="20"/>
          <w:szCs w:val="20"/>
        </w:rPr>
        <w:br/>
        <w:t>P.O. Box 9046, MS 6000</w:t>
      </w:r>
      <w:r w:rsidRPr="009F0097">
        <w:rPr>
          <w:rFonts w:eastAsia="Times New Roman" w:cs="Arial"/>
          <w:sz w:val="20"/>
          <w:szCs w:val="20"/>
        </w:rPr>
        <w:br/>
        <w:t>Olympia, WA 98507-9046</w:t>
      </w:r>
      <w:r w:rsidRPr="009F0097">
        <w:rPr>
          <w:rFonts w:eastAsia="Times New Roman" w:cs="Arial"/>
          <w:sz w:val="20"/>
          <w:szCs w:val="20"/>
        </w:rPr>
        <w:br/>
        <w:t xml:space="preserve">E-Mail: </w:t>
      </w:r>
      <w:hyperlink r:id="rId13" w:history="1">
        <w:r w:rsidRPr="009F0097">
          <w:rPr>
            <w:rFonts w:eastAsia="Times New Roman" w:cs="Arial"/>
            <w:color w:val="0000FF"/>
            <w:sz w:val="20"/>
            <w:szCs w:val="20"/>
            <w:u w:val="single"/>
          </w:rPr>
          <w:t>kanensen@esd.wa.gov</w:t>
        </w:r>
      </w:hyperlink>
      <w:r w:rsidRPr="009F0097">
        <w:rPr>
          <w:rFonts w:eastAsia="Times New Roman" w:cs="Arial"/>
          <w:sz w:val="20"/>
          <w:szCs w:val="20"/>
        </w:rPr>
        <w:t> </w:t>
      </w:r>
      <w:r w:rsidRPr="009F0097">
        <w:rPr>
          <w:rFonts w:eastAsia="Times New Roman" w:cs="Arial"/>
          <w:sz w:val="20"/>
          <w:szCs w:val="20"/>
        </w:rPr>
        <w:br/>
        <w:t>Telephone: (360) 902-9525</w:t>
      </w:r>
      <w:r w:rsidRPr="009F0097">
        <w:rPr>
          <w:rFonts w:eastAsia="Times New Roman" w:cs="Arial"/>
          <w:sz w:val="20"/>
          <w:szCs w:val="20"/>
        </w:rPr>
        <w:br/>
        <w:t>FAX: (360) 902-9520</w:t>
      </w:r>
    </w:p>
    <w:sectPr w:rsidR="00F65F93" w:rsidRPr="009F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57504"/>
    <w:multiLevelType w:val="multilevel"/>
    <w:tmpl w:val="D8D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97"/>
    <w:rsid w:val="009F0097"/>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C64A-A3C2-4B7A-8C7F-4F24E540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9F0097"/>
    <w:rPr>
      <w:color w:val="0000FF"/>
      <w:u w:val="single"/>
    </w:rPr>
  </w:style>
  <w:style w:type="paragraph" w:styleId="NormalWeb">
    <w:name w:val="Normal (Web)"/>
    <w:basedOn w:val="Normal"/>
    <w:uiPriority w:val="99"/>
    <w:semiHidden/>
    <w:unhideWhenUsed/>
    <w:rsid w:val="009F009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50.htm" TargetMode="External"/><Relationship Id="rId13" Type="http://schemas.openxmlformats.org/officeDocument/2006/relationships/hyperlink" Target="mailto:kanense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250.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250.htm" TargetMode="External"/><Relationship Id="rId11" Type="http://schemas.openxmlformats.org/officeDocument/2006/relationships/hyperlink" Target="http://www.wa.gov/esd/1stop/policies/documents/archive/3250.htm" TargetMode="External"/><Relationship Id="rId5" Type="http://schemas.openxmlformats.org/officeDocument/2006/relationships/hyperlink" Target="http://www.wa.gov/esd/1stop/policies/documents/archive/3250.htm" TargetMode="External"/><Relationship Id="rId15" Type="http://schemas.openxmlformats.org/officeDocument/2006/relationships/theme" Target="theme/theme1.xml"/><Relationship Id="rId10" Type="http://schemas.openxmlformats.org/officeDocument/2006/relationships/hyperlink" Target="http://www.wa.gov/esd/1stop/policies/documents/archive/3250.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25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1E8AB-F24C-4C64-9502-CF1CBAC88D87}"/>
</file>

<file path=customXml/itemProps2.xml><?xml version="1.0" encoding="utf-8"?>
<ds:datastoreItem xmlns:ds="http://schemas.openxmlformats.org/officeDocument/2006/customXml" ds:itemID="{6D6F23C9-0DB3-40C5-B323-62771161D38F}"/>
</file>

<file path=customXml/itemProps3.xml><?xml version="1.0" encoding="utf-8"?>
<ds:datastoreItem xmlns:ds="http://schemas.openxmlformats.org/officeDocument/2006/customXml" ds:itemID="{F7C871EC-D34E-42A9-9546-F127604B1986}"/>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2017-05-18T23:06:00Z</dcterms:created>
  <dcterms:modified xsi:type="dcterms:W3CDTF">2017-05-18T23:06:00Z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