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90" w:rsidRPr="00BC7190" w:rsidRDefault="00BC7190" w:rsidP="00BC7190">
      <w:pPr>
        <w:spacing w:before="100" w:after="100" w:line="240" w:lineRule="auto"/>
        <w:jc w:val="center"/>
        <w:rPr>
          <w:rFonts w:ascii="Times New Roman" w:eastAsia="Times New Roman" w:hAnsi="Times New Roman" w:cs="Times New Roman"/>
          <w:szCs w:val="24"/>
        </w:rPr>
      </w:pPr>
      <w:bookmarkStart w:id="0" w:name="Workforce"/>
      <w:r w:rsidRPr="00BC7190">
        <w:rPr>
          <w:rFonts w:eastAsia="Times New Roman" w:cs="Arial"/>
          <w:b/>
          <w:bCs/>
          <w:color w:val="FF0000"/>
          <w:szCs w:val="24"/>
        </w:rPr>
        <w:t>Workforce</w:t>
      </w:r>
      <w:bookmarkEnd w:id="0"/>
      <w:r w:rsidRPr="00BC7190">
        <w:rPr>
          <w:rFonts w:eastAsia="Times New Roman" w:cs="Arial"/>
          <w:b/>
          <w:bCs/>
          <w:color w:val="FF0000"/>
          <w:szCs w:val="24"/>
        </w:rPr>
        <w:t xml:space="preserve"> Investment Act Title I-B</w:t>
      </w:r>
      <w:r w:rsidRPr="00BC7190">
        <w:rPr>
          <w:rFonts w:eastAsia="Times New Roman" w:cs="Arial"/>
          <w:b/>
          <w:bCs/>
          <w:sz w:val="20"/>
          <w:szCs w:val="20"/>
        </w:rPr>
        <w:br/>
        <w:t>Washington State Policies</w:t>
      </w:r>
    </w:p>
    <w:p w:rsidR="00BC7190" w:rsidRPr="00BC7190" w:rsidRDefault="00BC7190" w:rsidP="00BC7190">
      <w:pPr>
        <w:spacing w:before="100" w:after="100" w:line="240" w:lineRule="auto"/>
        <w:jc w:val="center"/>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jc w:val="center"/>
        <w:rPr>
          <w:rFonts w:ascii="Times New Roman" w:eastAsia="Times New Roman" w:hAnsi="Times New Roman" w:cs="Times New Roman"/>
          <w:szCs w:val="24"/>
        </w:rPr>
      </w:pPr>
      <w:r w:rsidRPr="00BC7190">
        <w:rPr>
          <w:rFonts w:ascii="Times New Roman" w:eastAsia="Times New Roman" w:hAnsi="Times New Roman" w:cs="Times New Roman"/>
          <w:noProof/>
          <w:szCs w:val="24"/>
        </w:rPr>
        <mc:AlternateContent>
          <mc:Choice Requires="wps">
            <w:drawing>
              <wp:inline distT="0" distB="0" distL="0" distR="0" wp14:anchorId="68B87F5C" wp14:editId="5F59E19C">
                <wp:extent cx="5429250" cy="38100"/>
                <wp:effectExtent l="0" t="0" r="0" b="0"/>
                <wp:docPr id="2" name="AutoShape 5" descr="http://www.wa.gov/esd/1stop/policies/documents/archive/3245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A48D4" id="AutoShape 5" o:spid="_x0000_s1026" alt="http://www.wa.gov/esd/1stop/policies/documents/archive/3245rev1.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" filled="f" stroked="f">
                <o:lock v:ext="edit" aspectratio="t"/>
                <w10:anchorlock/>
              </v:rect>
            </w:pict>
          </mc:Fallback>
        </mc:AlternateContent>
      </w:r>
    </w:p>
    <w:p w:rsidR="00BC7190" w:rsidRPr="00BC7190" w:rsidRDefault="00BC7190" w:rsidP="00BC7190">
      <w:pPr>
        <w:spacing w:before="100" w:after="100" w:line="240" w:lineRule="auto"/>
        <w:jc w:val="center"/>
        <w:rPr>
          <w:rFonts w:ascii="Times New Roman" w:eastAsia="Times New Roman" w:hAnsi="Times New Roman" w:cs="Times New Roman"/>
          <w:szCs w:val="24"/>
        </w:rPr>
      </w:pPr>
      <w:r w:rsidRPr="00BC7190">
        <w:rPr>
          <w:rFonts w:eastAsia="Times New Roman" w:cs="Times New Roman"/>
          <w:b/>
          <w:sz w:val="20"/>
          <w:szCs w:val="20"/>
        </w:rPr>
        <w:t> </w:t>
      </w:r>
    </w:p>
    <w:p w:rsidR="00BC7190" w:rsidRPr="00BC7190" w:rsidRDefault="00BC7190" w:rsidP="00BC7190">
      <w:pPr>
        <w:spacing w:before="100" w:after="100" w:line="240" w:lineRule="auto"/>
        <w:jc w:val="center"/>
        <w:rPr>
          <w:rFonts w:ascii="Times New Roman" w:eastAsia="Times New Roman" w:hAnsi="Times New Roman" w:cs="Times New Roman"/>
          <w:szCs w:val="24"/>
        </w:rPr>
      </w:pPr>
      <w:r w:rsidRPr="00BC7190">
        <w:rPr>
          <w:rFonts w:eastAsia="Times New Roman" w:cs="Times New Roman"/>
          <w:b/>
          <w:sz w:val="20"/>
          <w:szCs w:val="20"/>
        </w:rPr>
        <w:t xml:space="preserve">SECTION B: Fiscal Controls and Accounting Guidelines </w:t>
      </w:r>
    </w:p>
    <w:p w:rsidR="00BC7190" w:rsidRPr="00BC7190" w:rsidRDefault="00BC7190" w:rsidP="00BC7190">
      <w:pPr>
        <w:spacing w:before="100" w:after="100" w:line="240" w:lineRule="auto"/>
        <w:jc w:val="center"/>
        <w:rPr>
          <w:rFonts w:ascii="Times New Roman" w:eastAsia="Times New Roman" w:hAnsi="Times New Roman" w:cs="Times New Roman"/>
          <w:szCs w:val="24"/>
        </w:rPr>
      </w:pPr>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i/>
          <w:sz w:val="20"/>
          <w:szCs w:val="20"/>
        </w:rPr>
        <w:t xml:space="preserve">Grantees, </w:t>
      </w:r>
      <w:proofErr w:type="spellStart"/>
      <w:r w:rsidRPr="00BC7190">
        <w:rPr>
          <w:rFonts w:eastAsia="Times New Roman" w:cs="Times New Roman"/>
          <w:i/>
          <w:sz w:val="20"/>
          <w:szCs w:val="20"/>
        </w:rPr>
        <w:t>subrecipients</w:t>
      </w:r>
      <w:proofErr w:type="spellEnd"/>
      <w:r w:rsidRPr="00BC7190">
        <w:rPr>
          <w:rFonts w:eastAsia="Times New Roman" w:cs="Times New Roman"/>
          <w:i/>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i/>
          <w:sz w:val="20"/>
          <w:szCs w:val="20"/>
        </w:rPr>
        <w:t> </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995"/>
        <w:gridCol w:w="6365"/>
      </w:tblGrid>
      <w:tr w:rsidR="00BC7190" w:rsidRPr="00BC7190">
        <w:trPr>
          <w:tblCellSpacing w:w="0" w:type="dxa"/>
        </w:trPr>
        <w:tc>
          <w:tcPr>
            <w:tcW w:w="1600" w:type="pct"/>
            <w:vAlign w:val="center"/>
            <w:hideMark/>
          </w:tcPr>
          <w:p w:rsidR="00BC7190" w:rsidRPr="00BC7190" w:rsidRDefault="00BC7190" w:rsidP="00BC7190">
            <w:pPr>
              <w:spacing w:after="0" w:line="240" w:lineRule="auto"/>
              <w:rPr>
                <w:rFonts w:ascii="Times New Roman" w:eastAsia="Times New Roman" w:hAnsi="Times New Roman" w:cs="Times New Roman"/>
                <w:szCs w:val="24"/>
              </w:rPr>
            </w:pPr>
            <w:r w:rsidRPr="00BC7190">
              <w:rPr>
                <w:rFonts w:eastAsia="Times New Roman" w:cs="Arial"/>
                <w:b/>
                <w:bCs/>
                <w:sz w:val="20"/>
                <w:szCs w:val="20"/>
              </w:rPr>
              <w:t>EFFECTIVE DATE:</w:t>
            </w:r>
            <w:r w:rsidRPr="00BC7190">
              <w:rPr>
                <w:rFonts w:eastAsia="Times New Roman" w:cs="Arial"/>
                <w:b/>
                <w:bCs/>
                <w:sz w:val="20"/>
                <w:szCs w:val="20"/>
                <w:u w:val="single"/>
              </w:rPr>
              <w:br/>
            </w:r>
            <w:r w:rsidRPr="00BC7190">
              <w:rPr>
                <w:rFonts w:eastAsia="Times New Roman" w:cs="Arial"/>
                <w:b/>
                <w:bCs/>
                <w:sz w:val="20"/>
                <w:szCs w:val="20"/>
              </w:rPr>
              <w:t>WIA POLICY NUMBER:</w:t>
            </w:r>
            <w:r w:rsidRPr="00BC7190">
              <w:rPr>
                <w:rFonts w:eastAsia="Times New Roman" w:cs="Arial"/>
                <w:b/>
                <w:bCs/>
                <w:sz w:val="20"/>
                <w:szCs w:val="20"/>
                <w:u w:val="single"/>
              </w:rPr>
              <w:br/>
            </w:r>
            <w:r w:rsidRPr="00BC7190">
              <w:rPr>
                <w:rFonts w:eastAsia="Times New Roman" w:cs="Arial"/>
                <w:b/>
                <w:bCs/>
                <w:sz w:val="20"/>
                <w:szCs w:val="20"/>
              </w:rPr>
              <w:t>SUBJECT:</w:t>
            </w:r>
          </w:p>
        </w:tc>
        <w:tc>
          <w:tcPr>
            <w:tcW w:w="3400" w:type="pct"/>
            <w:vAlign w:val="center"/>
            <w:hideMark/>
          </w:tcPr>
          <w:p w:rsidR="00BC7190" w:rsidRPr="00BC7190" w:rsidRDefault="00BC7190" w:rsidP="00BC7190">
            <w:pPr>
              <w:spacing w:after="0" w:line="240" w:lineRule="auto"/>
              <w:rPr>
                <w:rFonts w:ascii="Times New Roman" w:eastAsia="Times New Roman" w:hAnsi="Times New Roman" w:cs="Times New Roman"/>
                <w:szCs w:val="24"/>
              </w:rPr>
            </w:pPr>
            <w:r w:rsidRPr="00BC7190">
              <w:rPr>
                <w:rFonts w:eastAsia="Times New Roman" w:cs="Arial"/>
                <w:sz w:val="20"/>
                <w:szCs w:val="20"/>
              </w:rPr>
              <w:t xml:space="preserve">January 9, 2006 </w:t>
            </w:r>
            <w:r w:rsidRPr="00BC7190">
              <w:rPr>
                <w:rFonts w:eastAsia="Times New Roman" w:cs="Arial"/>
                <w:sz w:val="20"/>
                <w:szCs w:val="20"/>
              </w:rPr>
              <w:br/>
              <w:t>3245 Revision 1</w:t>
            </w:r>
            <w:r w:rsidRPr="00BC7190">
              <w:rPr>
                <w:rFonts w:eastAsia="Times New Roman" w:cs="Arial"/>
                <w:sz w:val="20"/>
                <w:szCs w:val="20"/>
              </w:rPr>
              <w:br/>
              <w:t xml:space="preserve">Grants or Contracts Settlement </w:t>
            </w:r>
          </w:p>
        </w:tc>
      </w:tr>
    </w:tbl>
    <w:p w:rsidR="00BC7190" w:rsidRPr="00BC7190" w:rsidRDefault="00BC7190" w:rsidP="00BC7190">
      <w:pPr>
        <w:tabs>
          <w:tab w:val="left" w:pos="2837"/>
        </w:tabs>
        <w:spacing w:before="100" w:beforeAutospacing="1" w:after="100" w:afterAutospacing="1" w:line="15" w:lineRule="atLeast"/>
        <w:jc w:val="center"/>
        <w:rPr>
          <w:rFonts w:ascii="Times New Roman" w:eastAsia="Times New Roman" w:hAnsi="Times New Roman" w:cs="Times New Roman"/>
          <w:szCs w:val="24"/>
        </w:rPr>
      </w:pPr>
      <w:r w:rsidRPr="00BC7190">
        <w:rPr>
          <w:rFonts w:eastAsia="Times New Roman" w:cs="Times New Roman"/>
          <w:sz w:val="20"/>
          <w:szCs w:val="20"/>
        </w:rPr>
        <w:t> </w:t>
      </w:r>
      <w:r w:rsidRPr="00BC7190">
        <w:rPr>
          <w:rFonts w:eastAsia="Times New Roman" w:cs="Times New Roman"/>
          <w:sz w:val="20"/>
          <w:szCs w:val="20"/>
        </w:rPr>
        <w:br/>
      </w:r>
    </w:p>
    <w:p w:rsidR="00BC7190" w:rsidRPr="00BC7190" w:rsidRDefault="00BC7190" w:rsidP="00BC7190">
      <w:pPr>
        <w:tabs>
          <w:tab w:val="left" w:pos="2837"/>
        </w:tabs>
        <w:spacing w:before="100" w:beforeAutospacing="1" w:after="240" w:line="15" w:lineRule="atLeast"/>
        <w:jc w:val="center"/>
        <w:rPr>
          <w:rFonts w:ascii="Times New Roman" w:eastAsia="Times New Roman" w:hAnsi="Times New Roman" w:cs="Times New Roman"/>
          <w:szCs w:val="24"/>
        </w:rPr>
      </w:pPr>
      <w:hyperlink r:id="rId5" w:anchor="BACKGROUND" w:history="1">
        <w:r w:rsidRPr="00BC7190">
          <w:rPr>
            <w:rFonts w:eastAsia="Times New Roman" w:cs="Times New Roman"/>
            <w:color w:val="0000FF"/>
            <w:sz w:val="20"/>
            <w:szCs w:val="20"/>
            <w:u w:val="single"/>
          </w:rPr>
          <w:t>BACKGROUND</w:t>
        </w:r>
      </w:hyperlink>
      <w:r w:rsidRPr="00BC7190">
        <w:rPr>
          <w:rFonts w:eastAsia="Times New Roman" w:cs="Times New Roman"/>
          <w:sz w:val="20"/>
          <w:szCs w:val="20"/>
        </w:rPr>
        <w:t xml:space="preserve"> | </w:t>
      </w:r>
      <w:hyperlink r:id="rId6" w:anchor="POLICY" w:history="1">
        <w:r w:rsidRPr="00BC7190">
          <w:rPr>
            <w:rFonts w:eastAsia="Times New Roman" w:cs="Times New Roman"/>
            <w:color w:val="0000FF"/>
            <w:sz w:val="20"/>
            <w:szCs w:val="20"/>
            <w:u w:val="single"/>
          </w:rPr>
          <w:t>POLICY</w:t>
        </w:r>
      </w:hyperlink>
      <w:r w:rsidRPr="00BC7190">
        <w:rPr>
          <w:rFonts w:eastAsia="Times New Roman" w:cs="Times New Roman"/>
          <w:sz w:val="20"/>
          <w:szCs w:val="20"/>
        </w:rPr>
        <w:t xml:space="preserve"> | </w:t>
      </w:r>
      <w:hyperlink r:id="rId7" w:anchor="DEFINITIONS" w:history="1">
        <w:r w:rsidRPr="00BC7190">
          <w:rPr>
            <w:rFonts w:eastAsia="Times New Roman" w:cs="Times New Roman"/>
            <w:color w:val="0000FF"/>
            <w:sz w:val="20"/>
            <w:szCs w:val="20"/>
            <w:u w:val="single"/>
          </w:rPr>
          <w:t>DEFINITIONS</w:t>
        </w:r>
      </w:hyperlink>
      <w:r w:rsidRPr="00BC7190">
        <w:rPr>
          <w:rFonts w:eastAsia="Times New Roman" w:cs="Times New Roman"/>
          <w:sz w:val="20"/>
          <w:szCs w:val="20"/>
        </w:rPr>
        <w:t xml:space="preserve"> | </w:t>
      </w:r>
      <w:hyperlink r:id="rId8" w:anchor="REFERENCES" w:history="1">
        <w:r w:rsidRPr="00BC7190">
          <w:rPr>
            <w:rFonts w:eastAsia="Times New Roman" w:cs="Times New Roman"/>
            <w:color w:val="0000FF"/>
            <w:sz w:val="20"/>
            <w:szCs w:val="20"/>
            <w:u w:val="single"/>
          </w:rPr>
          <w:t>REFERENCES</w:t>
        </w:r>
      </w:hyperlink>
      <w:r w:rsidRPr="00BC7190">
        <w:rPr>
          <w:rFonts w:eastAsia="Times New Roman" w:cs="Times New Roman"/>
          <w:sz w:val="20"/>
          <w:szCs w:val="20"/>
        </w:rPr>
        <w:br/>
      </w:r>
      <w:hyperlink r:id="rId9" w:anchor="SUPERSEDES" w:history="1">
        <w:r w:rsidRPr="00BC7190">
          <w:rPr>
            <w:rFonts w:eastAsia="Times New Roman" w:cs="Times New Roman"/>
            <w:color w:val="0000FF"/>
            <w:sz w:val="20"/>
            <w:szCs w:val="20"/>
            <w:u w:val="single"/>
          </w:rPr>
          <w:t>SUPERSEDES</w:t>
        </w:r>
      </w:hyperlink>
      <w:r w:rsidRPr="00BC7190">
        <w:rPr>
          <w:rFonts w:eastAsia="Times New Roman" w:cs="Times New Roman"/>
          <w:sz w:val="20"/>
          <w:szCs w:val="20"/>
        </w:rPr>
        <w:t xml:space="preserve"> | </w:t>
      </w:r>
      <w:hyperlink r:id="rId10" w:anchor="WEBSITE" w:history="1">
        <w:r w:rsidRPr="00BC7190">
          <w:rPr>
            <w:rFonts w:eastAsia="Times New Roman" w:cs="Times New Roman"/>
            <w:color w:val="0000FF"/>
            <w:sz w:val="20"/>
            <w:szCs w:val="20"/>
            <w:u w:val="single"/>
          </w:rPr>
          <w:t>WEBSITE</w:t>
        </w:r>
      </w:hyperlink>
      <w:r w:rsidRPr="00BC7190">
        <w:rPr>
          <w:rFonts w:eastAsia="Times New Roman" w:cs="Times New Roman"/>
          <w:sz w:val="20"/>
          <w:szCs w:val="20"/>
        </w:rPr>
        <w:t xml:space="preserve"> | </w:t>
      </w:r>
      <w:hyperlink r:id="rId11" w:anchor="INQUIRIES" w:history="1">
        <w:r w:rsidRPr="00BC7190">
          <w:rPr>
            <w:rFonts w:eastAsia="Times New Roman" w:cs="Times New Roman"/>
            <w:color w:val="0000FF"/>
            <w:sz w:val="20"/>
            <w:szCs w:val="20"/>
            <w:u w:val="single"/>
          </w:rPr>
          <w:t>INQUIRIES</w:t>
        </w:r>
      </w:hyperlink>
      <w:r w:rsidRPr="00BC7190">
        <w:rPr>
          <w:rFonts w:eastAsia="Times New Roman" w:cs="Times New Roman"/>
          <w:sz w:val="20"/>
          <w:szCs w:val="20"/>
        </w:rPr>
        <w:t xml:space="preserve"> </w:t>
      </w:r>
      <w:r w:rsidRPr="00BC7190">
        <w:rPr>
          <w:rFonts w:eastAsia="Times New Roman" w:cs="Times New Roman"/>
          <w:sz w:val="20"/>
          <w:szCs w:val="20"/>
        </w:rPr>
        <w:br/>
      </w:r>
    </w:p>
    <w:p w:rsidR="00BC7190" w:rsidRPr="00BC7190" w:rsidRDefault="00BC7190" w:rsidP="00BC7190">
      <w:pPr>
        <w:spacing w:before="100" w:after="100" w:line="240" w:lineRule="auto"/>
        <w:rPr>
          <w:rFonts w:ascii="Times New Roman" w:eastAsia="Times New Roman" w:hAnsi="Times New Roman" w:cs="Times New Roman"/>
          <w:szCs w:val="24"/>
        </w:rPr>
      </w:pPr>
      <w:bookmarkStart w:id="1" w:name="BACKGROUND"/>
      <w:r w:rsidRPr="00BC7190">
        <w:rPr>
          <w:rFonts w:eastAsia="Times New Roman" w:cs="Times New Roman"/>
          <w:b/>
          <w:sz w:val="20"/>
          <w:szCs w:val="20"/>
        </w:rPr>
        <w:t>BACKGROUND</w:t>
      </w:r>
      <w:bookmarkEnd w:id="1"/>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Revision 2 to this policy changes the contact information and adds a reference to the Department of </w:t>
      </w:r>
      <w:proofErr w:type="gramStart"/>
      <w:r w:rsidRPr="00BC7190">
        <w:rPr>
          <w:rFonts w:eastAsia="Times New Roman" w:cs="Times New Roman"/>
          <w:sz w:val="20"/>
          <w:szCs w:val="20"/>
        </w:rPr>
        <w:t>Labor ‘s</w:t>
      </w:r>
      <w:proofErr w:type="gramEnd"/>
      <w:r w:rsidRPr="00BC7190">
        <w:rPr>
          <w:rFonts w:eastAsia="Times New Roman" w:cs="Times New Roman"/>
          <w:sz w:val="20"/>
          <w:szCs w:val="20"/>
        </w:rPr>
        <w:t xml:space="preserve"> Financial Management Guide.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The Workforce Investment Act (WIA) funds, whether released in the form of grants or contracts, are awarded for a specific funding period. At the end of the contract or grant period, the grantee, </w:t>
      </w:r>
      <w:proofErr w:type="spellStart"/>
      <w:r w:rsidRPr="00BC7190">
        <w:rPr>
          <w:rFonts w:eastAsia="Times New Roman" w:cs="Times New Roman"/>
          <w:sz w:val="20"/>
          <w:szCs w:val="20"/>
        </w:rPr>
        <w:t>subrecipient</w:t>
      </w:r>
      <w:proofErr w:type="spellEnd"/>
      <w:r w:rsidRPr="00BC7190">
        <w:rPr>
          <w:rFonts w:eastAsia="Times New Roman" w:cs="Times New Roman"/>
          <w:sz w:val="20"/>
          <w:szCs w:val="20"/>
        </w:rPr>
        <w:t xml:space="preserve">, or contractor must fully account for all WIA expenditures.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rPr>
          <w:rFonts w:ascii="Times New Roman" w:eastAsia="Times New Roman" w:hAnsi="Times New Roman" w:cs="Times New Roman"/>
          <w:szCs w:val="24"/>
        </w:rPr>
      </w:pPr>
      <w:bookmarkStart w:id="2" w:name="POLICY"/>
      <w:r w:rsidRPr="00BC7190">
        <w:rPr>
          <w:rFonts w:eastAsia="Times New Roman" w:cs="Times New Roman"/>
          <w:b/>
          <w:sz w:val="20"/>
          <w:szCs w:val="20"/>
        </w:rPr>
        <w:t>POLICY</w:t>
      </w:r>
      <w:bookmarkEnd w:id="2"/>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Beginning on April 1, 2001, and continuing thereafter, a consolidated grant, consisting of multiple subparts, will replace the individual grants previously issued. Subparts will be closed individually as the funds are exhausted or the period of performance expires.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Six months, or as otherwise instructed, after the end of the grant, grant </w:t>
      </w:r>
      <w:proofErr w:type="spellStart"/>
      <w:r w:rsidRPr="00BC7190">
        <w:rPr>
          <w:rFonts w:eastAsia="Times New Roman" w:cs="Times New Roman"/>
          <w:sz w:val="20"/>
          <w:szCs w:val="20"/>
        </w:rPr>
        <w:t>subgrant</w:t>
      </w:r>
      <w:proofErr w:type="spellEnd"/>
      <w:r w:rsidRPr="00BC7190">
        <w:rPr>
          <w:rFonts w:eastAsia="Times New Roman" w:cs="Times New Roman"/>
          <w:sz w:val="20"/>
          <w:szCs w:val="20"/>
        </w:rPr>
        <w:t xml:space="preserve">, or contract funding period, or when the funding is fully utilized, whichever comes first, a formal settlement is required. A grant, </w:t>
      </w:r>
      <w:proofErr w:type="spellStart"/>
      <w:r w:rsidRPr="00BC7190">
        <w:rPr>
          <w:rFonts w:eastAsia="Times New Roman" w:cs="Times New Roman"/>
          <w:sz w:val="20"/>
          <w:szCs w:val="20"/>
        </w:rPr>
        <w:t>subgrant</w:t>
      </w:r>
      <w:proofErr w:type="spellEnd"/>
      <w:r w:rsidRPr="00BC7190">
        <w:rPr>
          <w:rFonts w:eastAsia="Times New Roman" w:cs="Times New Roman"/>
          <w:color w:val="000080"/>
          <w:sz w:val="20"/>
          <w:szCs w:val="20"/>
        </w:rPr>
        <w:t>,</w:t>
      </w:r>
      <w:r w:rsidRPr="00BC7190">
        <w:rPr>
          <w:rFonts w:eastAsia="Times New Roman" w:cs="Times New Roman"/>
          <w:sz w:val="20"/>
          <w:szCs w:val="20"/>
        </w:rPr>
        <w:t xml:space="preserve"> or contract settlement package will be provided by the Employment Security Department (ESD) at the end of the funding period or when the funding is fully utilized.</w:t>
      </w:r>
      <w:r w:rsidRPr="00BC7190">
        <w:rPr>
          <w:rFonts w:eastAsia="Times New Roman" w:cs="Times New Roman"/>
          <w:sz w:val="20"/>
          <w:szCs w:val="20"/>
        </w:rPr>
        <w:br/>
      </w:r>
    </w:p>
    <w:p w:rsidR="00BC7190" w:rsidRPr="00BC7190" w:rsidRDefault="00BC7190" w:rsidP="00BC7190">
      <w:pPr>
        <w:numPr>
          <w:ilvl w:val="0"/>
          <w:numId w:val="1"/>
        </w:numPr>
        <w:spacing w:before="100" w:after="100" w:line="240" w:lineRule="auto"/>
        <w:rPr>
          <w:rFonts w:eastAsia="Times New Roman" w:cs="Arial"/>
          <w:sz w:val="20"/>
          <w:szCs w:val="20"/>
        </w:rPr>
      </w:pPr>
      <w:r w:rsidRPr="00BC7190">
        <w:rPr>
          <w:rFonts w:eastAsia="Times New Roman" w:cs="Times New Roman"/>
          <w:sz w:val="20"/>
          <w:szCs w:val="20"/>
        </w:rPr>
        <w:t xml:space="preserve">The final settlement shall contain at a minimum: </w:t>
      </w:r>
    </w:p>
    <w:p w:rsidR="00BC7190" w:rsidRPr="00BC7190" w:rsidRDefault="00BC7190" w:rsidP="00BC7190">
      <w:pPr>
        <w:tabs>
          <w:tab w:val="num" w:pos="720"/>
        </w:tabs>
        <w:spacing w:before="100" w:after="100" w:line="240" w:lineRule="auto"/>
        <w:ind w:left="1220" w:hanging="360"/>
        <w:rPr>
          <w:rFonts w:ascii="Times New Roman" w:eastAsia="Times New Roman" w:hAnsi="Times New Roman" w:cs="Times New Roman"/>
          <w:szCs w:val="24"/>
        </w:rPr>
      </w:pPr>
      <w:r w:rsidRPr="00BC7190">
        <w:rPr>
          <w:rFonts w:eastAsia="Times New Roman" w:cs="Times New Roman"/>
          <w:sz w:val="20"/>
          <w:szCs w:val="20"/>
        </w:rPr>
        <w:t xml:space="preserve">a.   A final financial statement reflecting outlays for the fund stream or contract. </w:t>
      </w:r>
    </w:p>
    <w:p w:rsidR="00BC7190" w:rsidRPr="00BC7190" w:rsidRDefault="00BC7190" w:rsidP="00BC7190">
      <w:pPr>
        <w:tabs>
          <w:tab w:val="num" w:pos="720"/>
        </w:tabs>
        <w:spacing w:before="100" w:after="100" w:line="240" w:lineRule="auto"/>
        <w:ind w:left="1220" w:hanging="360"/>
        <w:rPr>
          <w:rFonts w:ascii="Times New Roman" w:eastAsia="Times New Roman" w:hAnsi="Times New Roman" w:cs="Times New Roman"/>
          <w:szCs w:val="24"/>
        </w:rPr>
      </w:pPr>
      <w:r w:rsidRPr="00BC7190">
        <w:rPr>
          <w:rFonts w:eastAsia="Times New Roman" w:cs="Times New Roman"/>
          <w:sz w:val="20"/>
          <w:szCs w:val="20"/>
        </w:rPr>
        <w:t xml:space="preserve">b.   A final accounting of cash for the funding period. </w:t>
      </w:r>
    </w:p>
    <w:p w:rsidR="00BC7190" w:rsidRPr="00BC7190" w:rsidRDefault="00BC7190" w:rsidP="00BC7190">
      <w:pPr>
        <w:tabs>
          <w:tab w:val="num" w:pos="720"/>
        </w:tabs>
        <w:spacing w:before="100" w:after="100" w:line="240" w:lineRule="auto"/>
        <w:ind w:left="1220" w:hanging="360"/>
        <w:rPr>
          <w:rFonts w:ascii="Times New Roman" w:eastAsia="Times New Roman" w:hAnsi="Times New Roman" w:cs="Times New Roman"/>
          <w:szCs w:val="24"/>
        </w:rPr>
      </w:pPr>
      <w:r w:rsidRPr="00BC7190">
        <w:rPr>
          <w:rFonts w:eastAsia="Times New Roman" w:cs="Times New Roman"/>
          <w:sz w:val="20"/>
          <w:szCs w:val="20"/>
        </w:rPr>
        <w:t xml:space="preserve">c.   A final accounting of any real property, personal property, or equipment acquired </w:t>
      </w:r>
      <w:r w:rsidRPr="00BC7190">
        <w:rPr>
          <w:rFonts w:eastAsia="Times New Roman" w:cs="Arial"/>
          <w:sz w:val="20"/>
          <w:szCs w:val="20"/>
        </w:rPr>
        <w:t xml:space="preserve">within the funding period with WIA funds. The accounting of property should include an inventory or </w:t>
      </w:r>
      <w:r w:rsidRPr="00BC7190">
        <w:rPr>
          <w:rFonts w:eastAsia="Times New Roman" w:cs="Arial"/>
          <w:sz w:val="20"/>
          <w:szCs w:val="20"/>
        </w:rPr>
        <w:lastRenderedPageBreak/>
        <w:t>property list.</w:t>
      </w:r>
      <w:r w:rsidRPr="00BC7190">
        <w:rPr>
          <w:rFonts w:eastAsia="Times New Roman" w:cs="Arial"/>
          <w:sz w:val="20"/>
          <w:szCs w:val="20"/>
        </w:rPr>
        <w:br/>
      </w:r>
    </w:p>
    <w:p w:rsidR="00BC7190" w:rsidRPr="00BC7190" w:rsidRDefault="00BC7190" w:rsidP="00BC7190">
      <w:pPr>
        <w:numPr>
          <w:ilvl w:val="0"/>
          <w:numId w:val="2"/>
        </w:numPr>
        <w:spacing w:before="100" w:after="100" w:line="240" w:lineRule="auto"/>
        <w:rPr>
          <w:rFonts w:eastAsia="Times New Roman" w:cs="Arial"/>
          <w:sz w:val="20"/>
          <w:szCs w:val="20"/>
        </w:rPr>
      </w:pPr>
      <w:r w:rsidRPr="00BC7190">
        <w:rPr>
          <w:rFonts w:eastAsia="Times New Roman" w:cs="Times New Roman"/>
          <w:sz w:val="20"/>
          <w:szCs w:val="20"/>
        </w:rPr>
        <w:t xml:space="preserve">The fiscal agent, grantee, or contractor shall submit a financial settlement package on the settlement forms provided by Specialized Accounting Services for ESD.  A settlement is required for each grant, grant subpart, or other funding award. </w:t>
      </w:r>
    </w:p>
    <w:p w:rsidR="00BC7190" w:rsidRPr="00BC7190" w:rsidRDefault="00BC7190" w:rsidP="00BC7190">
      <w:pPr>
        <w:numPr>
          <w:ilvl w:val="0"/>
          <w:numId w:val="3"/>
        </w:numPr>
        <w:spacing w:before="100" w:after="100" w:line="240" w:lineRule="auto"/>
        <w:rPr>
          <w:rFonts w:eastAsia="Times New Roman" w:cs="Arial"/>
          <w:sz w:val="20"/>
          <w:szCs w:val="20"/>
        </w:rPr>
      </w:pPr>
      <w:r w:rsidRPr="00BC7190">
        <w:rPr>
          <w:rFonts w:eastAsia="Times New Roman" w:cs="Times New Roman"/>
          <w:sz w:val="20"/>
          <w:szCs w:val="20"/>
        </w:rPr>
        <w:t xml:space="preserve">The settlement package shall indicate the date the settlement is due to Specialized Accounting Services.  The package will be made available at the time all funds are expended or at the end of the funding period. </w:t>
      </w:r>
    </w:p>
    <w:p w:rsidR="00BC7190" w:rsidRPr="00BC7190" w:rsidRDefault="00BC7190" w:rsidP="00BC7190">
      <w:pPr>
        <w:numPr>
          <w:ilvl w:val="0"/>
          <w:numId w:val="4"/>
        </w:numPr>
        <w:spacing w:before="100" w:after="100" w:line="240" w:lineRule="auto"/>
        <w:rPr>
          <w:rFonts w:eastAsia="Times New Roman" w:cs="Arial"/>
          <w:sz w:val="20"/>
          <w:szCs w:val="20"/>
        </w:rPr>
      </w:pPr>
      <w:r w:rsidRPr="00BC7190">
        <w:rPr>
          <w:rFonts w:eastAsia="Times New Roman" w:cs="Times New Roman"/>
          <w:sz w:val="20"/>
          <w:szCs w:val="20"/>
        </w:rPr>
        <w:t>Revisions to a settlement package can be requested within the time specified in the settlement package for any specific grant, grant subpart, or funding award. Instructions for submitting a Request for Revision are also noted in the settlement package.</w:t>
      </w:r>
    </w:p>
    <w:p w:rsidR="00BC7190" w:rsidRPr="00BC7190" w:rsidRDefault="00BC7190" w:rsidP="00BC7190">
      <w:pPr>
        <w:numPr>
          <w:ilvl w:val="0"/>
          <w:numId w:val="4"/>
        </w:numPr>
        <w:spacing w:before="100" w:after="100" w:line="240" w:lineRule="auto"/>
        <w:rPr>
          <w:rFonts w:eastAsia="Times New Roman" w:cs="Arial"/>
          <w:sz w:val="20"/>
          <w:szCs w:val="20"/>
        </w:rPr>
      </w:pPr>
      <w:r w:rsidRPr="00BC7190">
        <w:rPr>
          <w:rFonts w:eastAsia="Times New Roman" w:cs="Times New Roman"/>
          <w:sz w:val="20"/>
          <w:szCs w:val="20"/>
        </w:rPr>
        <w:t>Program income (including interest income), program expenditures paid for with program income and stand-in costs, or other category as set forth in federal report requirements shall be included in the settlement package as specified in the instructions.</w:t>
      </w:r>
    </w:p>
    <w:p w:rsidR="00BC7190" w:rsidRPr="00BC7190" w:rsidRDefault="00BC7190" w:rsidP="00BC7190">
      <w:pPr>
        <w:numPr>
          <w:ilvl w:val="0"/>
          <w:numId w:val="4"/>
        </w:numPr>
        <w:spacing w:before="100" w:after="100" w:line="240" w:lineRule="auto"/>
        <w:rPr>
          <w:rFonts w:eastAsia="Times New Roman" w:cs="Arial"/>
          <w:sz w:val="20"/>
          <w:szCs w:val="20"/>
        </w:rPr>
      </w:pPr>
      <w:r w:rsidRPr="00BC7190">
        <w:rPr>
          <w:rFonts w:eastAsia="Times New Roman" w:cs="Times New Roman"/>
          <w:sz w:val="20"/>
          <w:szCs w:val="20"/>
        </w:rPr>
        <w:t xml:space="preserve">Any unspent funds must be returned at the completion of the final settlement activities to: </w:t>
      </w:r>
    </w:p>
    <w:p w:rsidR="00BC7190" w:rsidRPr="00BC7190" w:rsidRDefault="00BC7190" w:rsidP="00BC7190">
      <w:pPr>
        <w:spacing w:beforeAutospacing="1" w:after="100" w:afterAutospacing="1" w:line="240" w:lineRule="auto"/>
        <w:ind w:left="1440"/>
        <w:rPr>
          <w:rFonts w:ascii="Times New Roman" w:eastAsia="Times New Roman" w:hAnsi="Times New Roman" w:cs="Times New Roman"/>
          <w:szCs w:val="24"/>
        </w:rPr>
      </w:pPr>
      <w:r w:rsidRPr="00BC7190">
        <w:rPr>
          <w:rFonts w:eastAsia="Times New Roman" w:cs="Times New Roman"/>
          <w:sz w:val="20"/>
          <w:szCs w:val="20"/>
        </w:rPr>
        <w:t>Employment Security Department</w:t>
      </w:r>
      <w:r w:rsidRPr="00BC7190">
        <w:rPr>
          <w:rFonts w:eastAsia="Times New Roman" w:cs="Times New Roman"/>
          <w:sz w:val="20"/>
          <w:szCs w:val="20"/>
        </w:rPr>
        <w:br/>
        <w:t>Attention: Specialized Accounting Services</w:t>
      </w:r>
      <w:r w:rsidRPr="00BC7190">
        <w:rPr>
          <w:rFonts w:eastAsia="Times New Roman" w:cs="Times New Roman"/>
          <w:sz w:val="20"/>
          <w:szCs w:val="20"/>
        </w:rPr>
        <w:br/>
        <w:t xml:space="preserve">P.O. Box 9046 </w:t>
      </w:r>
      <w:r w:rsidRPr="00BC7190">
        <w:rPr>
          <w:rFonts w:eastAsia="Times New Roman" w:cs="Times New Roman"/>
          <w:sz w:val="20"/>
          <w:szCs w:val="20"/>
        </w:rPr>
        <w:br/>
      </w:r>
      <w:proofErr w:type="gramStart"/>
      <w:r w:rsidRPr="00BC7190">
        <w:rPr>
          <w:rFonts w:eastAsia="Times New Roman" w:cs="Times New Roman"/>
          <w:sz w:val="20"/>
          <w:szCs w:val="20"/>
        </w:rPr>
        <w:t>Olympia ,</w:t>
      </w:r>
      <w:proofErr w:type="gramEnd"/>
      <w:r w:rsidRPr="00BC7190">
        <w:rPr>
          <w:rFonts w:eastAsia="Times New Roman" w:cs="Times New Roman"/>
          <w:sz w:val="20"/>
          <w:szCs w:val="20"/>
        </w:rPr>
        <w:t xml:space="preserve"> WA 98507-9046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rPr>
          <w:rFonts w:ascii="Times New Roman" w:eastAsia="Times New Roman" w:hAnsi="Times New Roman" w:cs="Times New Roman"/>
          <w:szCs w:val="24"/>
        </w:rPr>
      </w:pPr>
      <w:bookmarkStart w:id="3" w:name="DEFINITIONS"/>
      <w:r w:rsidRPr="00BC7190">
        <w:rPr>
          <w:rFonts w:eastAsia="Times New Roman" w:cs="Times New Roman"/>
          <w:b/>
          <w:sz w:val="20"/>
          <w:szCs w:val="20"/>
        </w:rPr>
        <w:t>DEFINITIONS</w:t>
      </w:r>
      <w:bookmarkEnd w:id="3"/>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None.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rPr>
          <w:rFonts w:ascii="Times New Roman" w:eastAsia="Times New Roman" w:hAnsi="Times New Roman" w:cs="Times New Roman"/>
          <w:szCs w:val="24"/>
        </w:rPr>
      </w:pPr>
      <w:bookmarkStart w:id="4" w:name="REFERENCES"/>
      <w:r w:rsidRPr="00BC7190">
        <w:rPr>
          <w:rFonts w:eastAsia="Times New Roman" w:cs="Times New Roman"/>
          <w:b/>
          <w:sz w:val="20"/>
          <w:szCs w:val="20"/>
        </w:rPr>
        <w:t>REFERENCES</w:t>
      </w:r>
      <w:bookmarkEnd w:id="4"/>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All fiscal policies and guidance letters published for WIA are governed, as appropriate, under: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See WIA Policy No. 3200 – Fiscal Definitions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Public Law 105-200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20 CFR Part 652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OMB Circular A-122: Cost Principles for Non-Profits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OMB Circular A-133: Audit of State and Local Government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OMB Circular A-133: Compliance Supplement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OMB Circular A- 21: Cost Principles for Education Institutions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OMB Circular A- 87: Revised Cost Principles for State and Local Government and Indian Tribal Government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One-Stop Comprehensive Financial Management Technical Assistance Guide (TAG) - July 2002 </w:t>
      </w:r>
    </w:p>
    <w:p w:rsidR="00BC7190" w:rsidRPr="00BC7190" w:rsidRDefault="00BC7190" w:rsidP="00BC7190">
      <w:pPr>
        <w:numPr>
          <w:ilvl w:val="0"/>
          <w:numId w:val="5"/>
        </w:num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Generally Accepted Accounting Procedures (GAAP)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rPr>
          <w:rFonts w:ascii="Times New Roman" w:eastAsia="Times New Roman" w:hAnsi="Times New Roman" w:cs="Times New Roman"/>
          <w:szCs w:val="24"/>
        </w:rPr>
      </w:pPr>
      <w:bookmarkStart w:id="5" w:name="SUPERSEDES"/>
      <w:r w:rsidRPr="00BC7190">
        <w:rPr>
          <w:rFonts w:eastAsia="Times New Roman" w:cs="Times New Roman"/>
          <w:b/>
          <w:sz w:val="20"/>
          <w:szCs w:val="20"/>
        </w:rPr>
        <w:t>SUPERSEDES</w:t>
      </w:r>
      <w:bookmarkEnd w:id="5"/>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eastAsia="Times New Roman" w:cs="Times New Roman"/>
          <w:sz w:val="20"/>
          <w:szCs w:val="20"/>
        </w:rPr>
        <w:t xml:space="preserve">Policy #3245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BC7190" w:rsidRPr="00BC7190" w:rsidRDefault="00BC7190" w:rsidP="00BC7190">
      <w:pPr>
        <w:spacing w:before="100" w:after="100" w:line="240" w:lineRule="auto"/>
        <w:rPr>
          <w:rFonts w:ascii="Times New Roman" w:eastAsia="Times New Roman" w:hAnsi="Times New Roman" w:cs="Times New Roman"/>
          <w:szCs w:val="24"/>
        </w:rPr>
      </w:pPr>
      <w:bookmarkStart w:id="6" w:name="WEBSITE"/>
      <w:r w:rsidRPr="00BC7190">
        <w:rPr>
          <w:rFonts w:eastAsia="Times New Roman" w:cs="Times New Roman"/>
          <w:b/>
          <w:sz w:val="20"/>
          <w:szCs w:val="20"/>
        </w:rPr>
        <w:t>WEBSITE</w:t>
      </w:r>
      <w:bookmarkEnd w:id="6"/>
      <w:r w:rsidRPr="00BC7190">
        <w:rPr>
          <w:rFonts w:eastAsia="Times New Roman" w:cs="Times New Roman"/>
          <w:b/>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hyperlink r:id="rId12" w:history="1">
        <w:r w:rsidRPr="00BC7190">
          <w:rPr>
            <w:rFonts w:eastAsia="Times New Roman" w:cs="Times New Roman"/>
            <w:color w:val="0000FF"/>
            <w:sz w:val="20"/>
            <w:szCs w:val="20"/>
            <w:u w:val="single"/>
          </w:rPr>
          <w:t>http://www.wa.gov/esd/policies/title1b.htm</w:t>
        </w:r>
      </w:hyperlink>
      <w:r w:rsidRPr="00BC7190">
        <w:rPr>
          <w:rFonts w:eastAsia="Times New Roman" w:cs="Times New Roman"/>
          <w:sz w:val="20"/>
          <w:szCs w:val="20"/>
        </w:rPr>
        <w:t xml:space="preserve"> </w:t>
      </w:r>
    </w:p>
    <w:p w:rsidR="00BC7190" w:rsidRPr="00BC7190" w:rsidRDefault="00BC7190" w:rsidP="00BC7190">
      <w:pPr>
        <w:spacing w:before="100" w:after="100" w:line="240" w:lineRule="auto"/>
        <w:rPr>
          <w:rFonts w:ascii="Times New Roman" w:eastAsia="Times New Roman" w:hAnsi="Times New Roman" w:cs="Times New Roman"/>
          <w:szCs w:val="24"/>
        </w:rPr>
      </w:pPr>
      <w:r w:rsidRPr="00BC7190">
        <w:rPr>
          <w:rFonts w:ascii="Times New Roman" w:eastAsia="Times New Roman" w:hAnsi="Times New Roman" w:cs="Times New Roman"/>
          <w:szCs w:val="24"/>
        </w:rPr>
        <w:t> </w:t>
      </w:r>
    </w:p>
    <w:p w:rsidR="00F65F93" w:rsidRDefault="00BC7190" w:rsidP="00BC7190">
      <w:r w:rsidRPr="00BC7190">
        <w:rPr>
          <w:rFonts w:eastAsia="Times New Roman" w:cs="Times New Roman"/>
          <w:b/>
          <w:sz w:val="20"/>
          <w:szCs w:val="20"/>
        </w:rPr>
        <w:t xml:space="preserve">DIRECT </w:t>
      </w:r>
      <w:bookmarkStart w:id="7" w:name="INQUIRIES"/>
      <w:r w:rsidRPr="00BC7190">
        <w:rPr>
          <w:rFonts w:eastAsia="Times New Roman" w:cs="Times New Roman"/>
          <w:b/>
          <w:sz w:val="20"/>
          <w:szCs w:val="20"/>
        </w:rPr>
        <w:t>INQUIRIES</w:t>
      </w:r>
      <w:bookmarkEnd w:id="7"/>
      <w:r w:rsidRPr="00BC7190">
        <w:rPr>
          <w:rFonts w:eastAsia="Times New Roman" w:cs="Times New Roman"/>
          <w:b/>
          <w:sz w:val="20"/>
          <w:szCs w:val="20"/>
        </w:rPr>
        <w:t xml:space="preserve"> TO </w:t>
      </w:r>
      <w:r w:rsidRPr="00BC7190">
        <w:rPr>
          <w:rFonts w:eastAsia="Times New Roman" w:cs="Times New Roman"/>
          <w:b/>
          <w:sz w:val="20"/>
          <w:szCs w:val="20"/>
        </w:rPr>
        <w:br/>
      </w:r>
      <w:r w:rsidRPr="00BC7190">
        <w:rPr>
          <w:rFonts w:eastAsia="Times New Roman" w:cs="Times New Roman"/>
          <w:b/>
          <w:sz w:val="20"/>
          <w:szCs w:val="20"/>
        </w:rPr>
        <w:br/>
      </w:r>
      <w:r w:rsidRPr="00BC7190">
        <w:rPr>
          <w:rFonts w:eastAsia="Times New Roman" w:cs="Times New Roman"/>
          <w:sz w:val="20"/>
          <w:szCs w:val="20"/>
        </w:rPr>
        <w:t xml:space="preserve">Kim </w:t>
      </w:r>
      <w:proofErr w:type="gramStart"/>
      <w:r w:rsidRPr="00BC7190">
        <w:rPr>
          <w:rFonts w:eastAsia="Times New Roman" w:cs="Times New Roman"/>
          <w:sz w:val="20"/>
          <w:szCs w:val="20"/>
        </w:rPr>
        <w:t>Anensen</w:t>
      </w:r>
      <w:r w:rsidRPr="00BC7190">
        <w:rPr>
          <w:rFonts w:eastAsia="Times New Roman" w:cs="Arial"/>
          <w:sz w:val="20"/>
          <w:szCs w:val="20"/>
        </w:rPr>
        <w:t xml:space="preserve"> </w:t>
      </w:r>
      <w:r w:rsidRPr="00BC7190">
        <w:rPr>
          <w:rFonts w:eastAsia="Times New Roman" w:cs="Times New Roman"/>
          <w:sz w:val="20"/>
          <w:szCs w:val="20"/>
        </w:rPr>
        <w:t>,</w:t>
      </w:r>
      <w:proofErr w:type="gramEnd"/>
      <w:r w:rsidRPr="00BC7190">
        <w:rPr>
          <w:rFonts w:eastAsia="Times New Roman" w:cs="Times New Roman"/>
          <w:sz w:val="20"/>
          <w:szCs w:val="20"/>
        </w:rPr>
        <w:t xml:space="preserve"> Manager</w:t>
      </w:r>
      <w:r w:rsidRPr="00BC7190">
        <w:rPr>
          <w:rFonts w:eastAsia="Times New Roman" w:cs="Times New Roman"/>
          <w:sz w:val="20"/>
          <w:szCs w:val="20"/>
        </w:rPr>
        <w:br/>
        <w:t>Employment Security Department</w:t>
      </w:r>
      <w:r w:rsidRPr="00BC7190">
        <w:rPr>
          <w:rFonts w:eastAsia="Times New Roman" w:cs="Times New Roman"/>
          <w:sz w:val="20"/>
          <w:szCs w:val="20"/>
        </w:rPr>
        <w:br/>
        <w:t>P.O. Box 9046 , MS 6000</w:t>
      </w:r>
      <w:r w:rsidRPr="00BC7190">
        <w:rPr>
          <w:rFonts w:eastAsia="Times New Roman" w:cs="Times New Roman"/>
          <w:sz w:val="20"/>
          <w:szCs w:val="20"/>
        </w:rPr>
        <w:br/>
        <w:t xml:space="preserve">Olympia , WA 98507-9046 </w:t>
      </w:r>
      <w:r w:rsidRPr="00BC7190">
        <w:rPr>
          <w:rFonts w:eastAsia="Times New Roman" w:cs="Times New Roman"/>
          <w:sz w:val="20"/>
          <w:szCs w:val="20"/>
        </w:rPr>
        <w:br/>
        <w:t>E-Mail:  </w:t>
      </w:r>
      <w:hyperlink r:id="rId13" w:history="1">
        <w:r w:rsidRPr="00BC7190">
          <w:rPr>
            <w:rFonts w:eastAsia="Times New Roman" w:cs="Times New Roman"/>
            <w:color w:val="0000FF"/>
            <w:sz w:val="20"/>
            <w:szCs w:val="20"/>
            <w:u w:val="single"/>
          </w:rPr>
          <w:t>kanensen@esd.wa.gov</w:t>
        </w:r>
        <w:r w:rsidRPr="00BC7190">
          <w:rPr>
            <w:rFonts w:eastAsia="Times New Roman" w:cs="Times New Roman"/>
            <w:color w:val="0000FF"/>
            <w:sz w:val="20"/>
            <w:szCs w:val="20"/>
            <w:u w:val="single"/>
          </w:rPr>
          <w:br/>
        </w:r>
      </w:hyperlink>
      <w:r w:rsidRPr="00BC7190">
        <w:rPr>
          <w:rFonts w:eastAsia="Times New Roman" w:cs="Times New Roman"/>
          <w:sz w:val="20"/>
          <w:szCs w:val="20"/>
        </w:rPr>
        <w:t>Telephone: (360) 902-9525</w:t>
      </w:r>
      <w:r w:rsidRPr="00BC7190">
        <w:rPr>
          <w:rFonts w:eastAsia="Times New Roman" w:cs="Times New Roman"/>
          <w:sz w:val="20"/>
          <w:szCs w:val="20"/>
        </w:rPr>
        <w:br/>
        <w:t>FAX: (360) 902-9520</w:t>
      </w:r>
      <w:bookmarkStart w:id="8" w:name="_GoBack"/>
      <w:bookmarkEnd w:id="8"/>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E4F"/>
    <w:multiLevelType w:val="multilevel"/>
    <w:tmpl w:val="D41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739FE"/>
    <w:multiLevelType w:val="multilevel"/>
    <w:tmpl w:val="0654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32013"/>
    <w:multiLevelType w:val="multilevel"/>
    <w:tmpl w:val="57F83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305B4"/>
    <w:multiLevelType w:val="multilevel"/>
    <w:tmpl w:val="F006A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76425"/>
    <w:multiLevelType w:val="multilevel"/>
    <w:tmpl w:val="5966F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90"/>
    <w:rsid w:val="00BC7190"/>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A4C6-713C-4576-B9A6-2F32032E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72428">
      <w:bodyDiv w:val="1"/>
      <w:marLeft w:val="0"/>
      <w:marRight w:val="0"/>
      <w:marTop w:val="0"/>
      <w:marBottom w:val="0"/>
      <w:divBdr>
        <w:top w:val="none" w:sz="0" w:space="0" w:color="auto"/>
        <w:left w:val="none" w:sz="0" w:space="0" w:color="auto"/>
        <w:bottom w:val="none" w:sz="0" w:space="0" w:color="auto"/>
        <w:right w:val="none" w:sz="0" w:space="0" w:color="auto"/>
      </w:divBdr>
      <w:divsChild>
        <w:div w:id="4635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45rev1.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245rev1.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245rev1.htm" TargetMode="External"/><Relationship Id="rId11" Type="http://schemas.openxmlformats.org/officeDocument/2006/relationships/hyperlink" Target="http://www.wa.gov/esd/1stop/policies/documents/archive/3245rev1.htm" TargetMode="External"/><Relationship Id="rId5" Type="http://schemas.openxmlformats.org/officeDocument/2006/relationships/hyperlink" Target="http://www.wa.gov/esd/1stop/policies/documents/archive/3245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245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45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18EDD-46FE-4B41-8641-F9F185E97808}"/>
</file>

<file path=customXml/itemProps2.xml><?xml version="1.0" encoding="utf-8"?>
<ds:datastoreItem xmlns:ds="http://schemas.openxmlformats.org/officeDocument/2006/customXml" ds:itemID="{1F98C777-45EB-4999-BF5E-51007018CFAB}"/>
</file>

<file path=customXml/itemProps3.xml><?xml version="1.0" encoding="utf-8"?>
<ds:datastoreItem xmlns:ds="http://schemas.openxmlformats.org/officeDocument/2006/customXml" ds:itemID="{7C7E2320-14C8-4147-A271-DDEF8A6D53F6}"/>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4403</Characters>
  <Application>Microsoft Office Word</Application>
  <DocSecurity>0</DocSecurity>
  <Lines>36</Lines>
  <Paragraphs>10</Paragraphs>
  <ScaleCrop>false</ScaleCrop>
  <Company>ESD - State Of Washington</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2017-05-18T23:02:00Z</dcterms:created>
  <dcterms:modified xsi:type="dcterms:W3CDTF">2017-05-18T23:05:00Z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