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DC" w:rsidRPr="008C3DDC" w:rsidRDefault="008C3DDC" w:rsidP="008C3DDC">
      <w:pPr>
        <w:spacing w:before="100" w:after="100" w:line="240" w:lineRule="auto"/>
        <w:jc w:val="center"/>
        <w:rPr>
          <w:rFonts w:ascii="Times New Roman" w:eastAsia="Times New Roman" w:hAnsi="Times New Roman" w:cs="Times New Roman"/>
          <w:szCs w:val="24"/>
        </w:rPr>
      </w:pPr>
      <w:bookmarkStart w:id="0" w:name="Workforce"/>
      <w:bookmarkStart w:id="1" w:name="_GoBack"/>
      <w:bookmarkEnd w:id="1"/>
      <w:r w:rsidRPr="008C3DDC">
        <w:rPr>
          <w:rFonts w:eastAsia="Times New Roman" w:cs="Arial"/>
          <w:b/>
          <w:bCs/>
          <w:color w:val="FF0000"/>
          <w:szCs w:val="24"/>
        </w:rPr>
        <w:t>Workforce</w:t>
      </w:r>
      <w:bookmarkEnd w:id="0"/>
      <w:r w:rsidRPr="008C3DDC">
        <w:rPr>
          <w:rFonts w:eastAsia="Times New Roman" w:cs="Arial"/>
          <w:b/>
          <w:bCs/>
          <w:color w:val="FF0000"/>
          <w:szCs w:val="24"/>
        </w:rPr>
        <w:t xml:space="preserve"> Investment Act Title I-B</w:t>
      </w:r>
      <w:r w:rsidRPr="008C3DDC">
        <w:rPr>
          <w:rFonts w:eastAsia="Times New Roman" w:cs="Arial"/>
          <w:b/>
          <w:bCs/>
          <w:color w:val="FF0000"/>
          <w:szCs w:val="24"/>
        </w:rPr>
        <w:br/>
      </w:r>
      <w:r w:rsidRPr="008C3DDC">
        <w:rPr>
          <w:rFonts w:eastAsia="Times New Roman" w:cs="Arial"/>
          <w:b/>
          <w:bCs/>
          <w:sz w:val="20"/>
          <w:szCs w:val="20"/>
        </w:rPr>
        <w:t>Washington State Policies</w:t>
      </w:r>
    </w:p>
    <w:p w:rsidR="008C3DDC" w:rsidRPr="008C3DDC" w:rsidRDefault="008C3DDC" w:rsidP="008C3DDC">
      <w:pPr>
        <w:spacing w:before="100" w:after="100" w:line="240" w:lineRule="auto"/>
        <w:jc w:val="center"/>
        <w:rPr>
          <w:rFonts w:ascii="Times New Roman" w:eastAsia="Times New Roman" w:hAnsi="Times New Roman" w:cs="Times New Roman"/>
          <w:szCs w:val="24"/>
        </w:rPr>
      </w:pPr>
      <w:r w:rsidRPr="008C3DDC">
        <w:rPr>
          <w:rFonts w:ascii="Times New Roman" w:eastAsia="Times New Roman" w:hAnsi="Times New Roman" w:cs="Times New Roman"/>
          <w:szCs w:val="24"/>
        </w:rPr>
        <w:t> </w:t>
      </w:r>
    </w:p>
    <w:p w:rsidR="008C3DDC" w:rsidRPr="008C3DDC" w:rsidRDefault="008C3DDC" w:rsidP="008C3DDC">
      <w:pPr>
        <w:spacing w:before="100" w:after="100" w:line="240" w:lineRule="auto"/>
        <w:jc w:val="center"/>
        <w:rPr>
          <w:rFonts w:ascii="Times New Roman" w:eastAsia="Times New Roman" w:hAnsi="Times New Roman" w:cs="Times New Roman"/>
          <w:szCs w:val="24"/>
        </w:rPr>
      </w:pPr>
      <w:r w:rsidRPr="008C3DDC">
        <w:rPr>
          <w:rFonts w:ascii="Times New Roman" w:eastAsia="Times New Roman" w:hAnsi="Times New Roman" w:cs="Times New Roman"/>
          <w:noProof/>
          <w:szCs w:val="24"/>
        </w:rPr>
        <mc:AlternateContent>
          <mc:Choice Requires="wps">
            <w:drawing>
              <wp:inline distT="0" distB="0" distL="0" distR="0">
                <wp:extent cx="5422900" cy="38100"/>
                <wp:effectExtent l="0" t="0" r="0" b="0"/>
                <wp:docPr id="1" name="Rectangle 1" descr="http://www.wa.gov/esd/1stop/policies/documents/archive/3235rev2.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29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BD844" id="Rectangle 1" o:spid="_x0000_s1026" alt="http://www.wa.gov/esd/1stop/policies/documents/archive/3235rev2.htm" style="width:427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" filled="f" stroked="f">
                <o:lock v:ext="edit" aspectratio="t"/>
                <w10:anchorlock/>
              </v:rect>
            </w:pict>
          </mc:Fallback>
        </mc:AlternateContent>
      </w:r>
    </w:p>
    <w:p w:rsidR="008C3DDC" w:rsidRPr="008C3DDC" w:rsidRDefault="008C3DDC" w:rsidP="008C3DDC">
      <w:pPr>
        <w:spacing w:before="100" w:after="100" w:line="240" w:lineRule="auto"/>
        <w:jc w:val="center"/>
        <w:rPr>
          <w:rFonts w:ascii="Times New Roman" w:eastAsia="Times New Roman" w:hAnsi="Times New Roman" w:cs="Times New Roman"/>
          <w:szCs w:val="24"/>
        </w:rPr>
      </w:pPr>
      <w:r w:rsidRPr="008C3DDC">
        <w:rPr>
          <w:rFonts w:eastAsia="Times New Roman" w:cs="Times New Roman"/>
          <w:b/>
          <w:sz w:val="20"/>
          <w:szCs w:val="20"/>
        </w:rPr>
        <w:br/>
        <w:t xml:space="preserve">SECTION C: General Administration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i/>
          <w:sz w:val="20"/>
          <w:szCs w:val="20"/>
        </w:rPr>
        <w:t xml:space="preserve">Grantees, </w:t>
      </w:r>
      <w:proofErr w:type="spellStart"/>
      <w:r w:rsidRPr="008C3DDC">
        <w:rPr>
          <w:rFonts w:eastAsia="Times New Roman" w:cs="Times New Roman"/>
          <w:i/>
          <w:sz w:val="20"/>
          <w:szCs w:val="20"/>
        </w:rPr>
        <w:t>subrecipients</w:t>
      </w:r>
      <w:proofErr w:type="spellEnd"/>
      <w:r w:rsidRPr="008C3DDC">
        <w:rPr>
          <w:rFonts w:eastAsia="Times New Roman" w:cs="Times New Roman"/>
          <w:i/>
          <w:sz w:val="20"/>
          <w:szCs w:val="20"/>
        </w:rPr>
        <w:t xml:space="preserve">, and contractors funded under the Workforce Investment Act (WIA), whether in whole or in part, must abide by the Workforce Investment Act of 1998, the WIA Regulations, all applicable Office of Management and Budget (OMB) circulars, state requirements in laws and rules (Revised Code of Washington Administrative Code) Office of Financial Management (OFM) policies and the Washington State WIA policies. </w:t>
      </w:r>
    </w:p>
    <w:p w:rsidR="008C3DDC" w:rsidRPr="008C3DDC" w:rsidRDefault="008C3DDC" w:rsidP="008C3DDC">
      <w:pPr>
        <w:tabs>
          <w:tab w:val="left" w:pos="2837"/>
        </w:tabs>
        <w:spacing w:before="100" w:after="100" w:line="15" w:lineRule="atLeast"/>
        <w:rPr>
          <w:rFonts w:ascii="Times New Roman" w:eastAsia="Times New Roman" w:hAnsi="Times New Roman" w:cs="Times New Roman"/>
          <w:szCs w:val="24"/>
        </w:rPr>
      </w:pPr>
      <w:r w:rsidRPr="008C3DDC">
        <w:rPr>
          <w:rFonts w:ascii="Times New Roman" w:eastAsia="Times New Roman" w:hAnsi="Times New Roman" w:cs="Times New Roman"/>
          <w:szCs w:val="24"/>
        </w:rPr>
        <w:t> </w:t>
      </w:r>
    </w:p>
    <w:p w:rsidR="008C3DDC" w:rsidRPr="008C3DDC" w:rsidRDefault="008C3DDC" w:rsidP="008C3DDC">
      <w:pPr>
        <w:tabs>
          <w:tab w:val="left" w:pos="2837"/>
        </w:tabs>
        <w:spacing w:before="100" w:after="100" w:line="15" w:lineRule="atLeast"/>
        <w:rPr>
          <w:rFonts w:ascii="Times New Roman" w:eastAsia="Times New Roman" w:hAnsi="Times New Roman" w:cs="Times New Roman"/>
          <w:szCs w:val="24"/>
        </w:rPr>
      </w:pPr>
      <w:r w:rsidRPr="008C3DDC">
        <w:rPr>
          <w:rFonts w:ascii="Times New Roman" w:eastAsia="Times New Roman" w:hAnsi="Times New Roman" w:cs="Times New Roman"/>
          <w:szCs w:val="24"/>
        </w:rPr>
        <w:t> </w:t>
      </w:r>
    </w:p>
    <w:tbl>
      <w:tblPr>
        <w:tblW w:w="7752" w:type="dxa"/>
        <w:tblCellSpacing w:w="15" w:type="dxa"/>
        <w:tblCellMar>
          <w:top w:w="48" w:type="dxa"/>
          <w:left w:w="48" w:type="dxa"/>
          <w:bottom w:w="48" w:type="dxa"/>
          <w:right w:w="48" w:type="dxa"/>
        </w:tblCellMar>
        <w:tblLook w:val="04A0" w:firstRow="1" w:lastRow="0" w:firstColumn="1" w:lastColumn="0" w:noHBand="0" w:noVBand="1"/>
      </w:tblPr>
      <w:tblGrid>
        <w:gridCol w:w="2208"/>
        <w:gridCol w:w="5544"/>
      </w:tblGrid>
      <w:tr w:rsidR="008C3DDC" w:rsidRPr="008C3DDC">
        <w:trPr>
          <w:tblCellSpacing w:w="15" w:type="dxa"/>
        </w:trPr>
        <w:tc>
          <w:tcPr>
            <w:tcW w:w="2100" w:type="dxa"/>
            <w:vAlign w:val="center"/>
            <w:hideMark/>
          </w:tcPr>
          <w:p w:rsidR="008C3DDC" w:rsidRPr="008C3DDC" w:rsidRDefault="008C3DDC" w:rsidP="008C3DDC">
            <w:pPr>
              <w:spacing w:after="0" w:line="240" w:lineRule="auto"/>
              <w:rPr>
                <w:rFonts w:ascii="Times New Roman" w:eastAsia="Times New Roman" w:hAnsi="Times New Roman" w:cs="Times New Roman"/>
                <w:szCs w:val="24"/>
              </w:rPr>
            </w:pPr>
            <w:r w:rsidRPr="008C3DDC">
              <w:rPr>
                <w:rFonts w:eastAsia="Times New Roman" w:cs="Arial"/>
                <w:b/>
                <w:bCs/>
                <w:sz w:val="20"/>
                <w:szCs w:val="20"/>
              </w:rPr>
              <w:t>EFFECTIVE DATE:</w:t>
            </w:r>
            <w:r w:rsidRPr="008C3DDC">
              <w:rPr>
                <w:rFonts w:eastAsia="Times New Roman" w:cs="Arial"/>
                <w:b/>
                <w:bCs/>
                <w:sz w:val="20"/>
                <w:szCs w:val="20"/>
              </w:rPr>
              <w:br/>
              <w:t>WIA POLICY NUMBER:</w:t>
            </w:r>
            <w:r w:rsidRPr="008C3DDC">
              <w:rPr>
                <w:rFonts w:eastAsia="Times New Roman" w:cs="Arial"/>
                <w:b/>
                <w:bCs/>
                <w:sz w:val="20"/>
                <w:szCs w:val="20"/>
              </w:rPr>
              <w:br/>
              <w:t>SUBJECT:</w:t>
            </w:r>
          </w:p>
        </w:tc>
        <w:tc>
          <w:tcPr>
            <w:tcW w:w="5340" w:type="dxa"/>
            <w:vAlign w:val="center"/>
            <w:hideMark/>
          </w:tcPr>
          <w:p w:rsidR="008C3DDC" w:rsidRPr="008C3DDC" w:rsidRDefault="008C3DDC" w:rsidP="008C3DDC">
            <w:pPr>
              <w:spacing w:after="0" w:line="240" w:lineRule="auto"/>
              <w:rPr>
                <w:rFonts w:ascii="Times New Roman" w:eastAsia="Times New Roman" w:hAnsi="Times New Roman" w:cs="Times New Roman"/>
                <w:szCs w:val="24"/>
              </w:rPr>
            </w:pPr>
            <w:r w:rsidRPr="008C3DDC">
              <w:rPr>
                <w:rFonts w:eastAsia="Times New Roman" w:cs="Arial"/>
                <w:sz w:val="20"/>
                <w:szCs w:val="20"/>
              </w:rPr>
              <w:t>January 9, 2006</w:t>
            </w:r>
            <w:r w:rsidRPr="008C3DDC">
              <w:rPr>
                <w:rFonts w:eastAsia="Times New Roman" w:cs="Arial"/>
                <w:sz w:val="20"/>
                <w:szCs w:val="20"/>
              </w:rPr>
              <w:br/>
              <w:t>3235, Revision 2</w:t>
            </w:r>
            <w:r w:rsidRPr="008C3DDC">
              <w:rPr>
                <w:rFonts w:eastAsia="Times New Roman" w:cs="Arial"/>
                <w:sz w:val="20"/>
                <w:szCs w:val="20"/>
              </w:rPr>
              <w:br/>
              <w:t xml:space="preserve">Administrative Cost Pool Grants, Revision 2 </w:t>
            </w:r>
          </w:p>
        </w:tc>
      </w:tr>
    </w:tbl>
    <w:p w:rsidR="008C3DDC" w:rsidRPr="008C3DDC" w:rsidRDefault="008C3DDC" w:rsidP="008C3DDC">
      <w:pPr>
        <w:tabs>
          <w:tab w:val="left" w:pos="2837"/>
        </w:tabs>
        <w:spacing w:before="100" w:after="100" w:line="15" w:lineRule="atLeast"/>
        <w:rPr>
          <w:rFonts w:ascii="Times New Roman" w:eastAsia="Times New Roman" w:hAnsi="Times New Roman" w:cs="Times New Roman"/>
          <w:szCs w:val="24"/>
        </w:rPr>
      </w:pPr>
      <w:r w:rsidRPr="008C3DDC">
        <w:rPr>
          <w:rFonts w:eastAsia="Times New Roman" w:cs="Times New Roman"/>
          <w:sz w:val="20"/>
          <w:szCs w:val="20"/>
        </w:rPr>
        <w:br/>
      </w:r>
    </w:p>
    <w:p w:rsidR="008C3DDC" w:rsidRPr="008C3DDC" w:rsidRDefault="008C3DDC" w:rsidP="008C3DDC">
      <w:pPr>
        <w:spacing w:before="100" w:after="100" w:line="240" w:lineRule="auto"/>
        <w:jc w:val="center"/>
        <w:rPr>
          <w:rFonts w:ascii="Times New Roman" w:eastAsia="Times New Roman" w:hAnsi="Times New Roman" w:cs="Times New Roman"/>
          <w:szCs w:val="24"/>
        </w:rPr>
      </w:pPr>
      <w:hyperlink r:id="rId5" w:anchor="BACKGROUND" w:history="1">
        <w:r w:rsidRPr="008C3DDC">
          <w:rPr>
            <w:rFonts w:eastAsia="Times New Roman" w:cs="Arial"/>
            <w:color w:val="0000FF"/>
            <w:sz w:val="20"/>
            <w:szCs w:val="20"/>
            <w:u w:val="single"/>
          </w:rPr>
          <w:t xml:space="preserve">BACKGROUND </w:t>
        </w:r>
        <w:r w:rsidRPr="008C3DDC">
          <w:rPr>
            <w:rFonts w:eastAsia="Times New Roman" w:cs="Arial"/>
            <w:color w:val="000000"/>
            <w:sz w:val="20"/>
            <w:szCs w:val="20"/>
            <w:u w:val="single"/>
          </w:rPr>
          <w:t>|</w:t>
        </w:r>
      </w:hyperlink>
      <w:r w:rsidRPr="008C3DDC">
        <w:rPr>
          <w:rFonts w:eastAsia="Times New Roman" w:cs="Arial"/>
          <w:sz w:val="20"/>
          <w:szCs w:val="20"/>
        </w:rPr>
        <w:t xml:space="preserve"> </w:t>
      </w:r>
      <w:hyperlink r:id="rId6" w:anchor="POLICY" w:history="1">
        <w:r w:rsidRPr="008C3DDC">
          <w:rPr>
            <w:rFonts w:eastAsia="Times New Roman" w:cs="Arial"/>
            <w:color w:val="0000FF"/>
            <w:sz w:val="20"/>
            <w:szCs w:val="20"/>
            <w:u w:val="single"/>
          </w:rPr>
          <w:t>POLICY </w:t>
        </w:r>
      </w:hyperlink>
      <w:r w:rsidRPr="008C3DDC">
        <w:rPr>
          <w:rFonts w:eastAsia="Times New Roman" w:cs="Arial"/>
          <w:sz w:val="20"/>
          <w:szCs w:val="20"/>
        </w:rPr>
        <w:t xml:space="preserve"> |</w:t>
      </w:r>
      <w:r w:rsidRPr="008C3DDC">
        <w:rPr>
          <w:rFonts w:eastAsia="Times New Roman" w:cs="Arial"/>
          <w:color w:val="0000FF"/>
          <w:sz w:val="20"/>
          <w:szCs w:val="20"/>
        </w:rPr>
        <w:t xml:space="preserve"> </w:t>
      </w:r>
      <w:hyperlink r:id="rId7" w:anchor="DEFINITIONS" w:history="1">
        <w:r w:rsidRPr="008C3DDC">
          <w:rPr>
            <w:rFonts w:eastAsia="Times New Roman" w:cs="Arial"/>
            <w:color w:val="0000FF"/>
            <w:sz w:val="20"/>
            <w:szCs w:val="20"/>
            <w:u w:val="single"/>
          </w:rPr>
          <w:t>DEFINITIONS</w:t>
        </w:r>
      </w:hyperlink>
      <w:r w:rsidRPr="008C3DDC">
        <w:rPr>
          <w:rFonts w:eastAsia="Times New Roman" w:cs="Arial"/>
          <w:sz w:val="20"/>
          <w:szCs w:val="20"/>
        </w:rPr>
        <w:t xml:space="preserve"> </w:t>
      </w:r>
      <w:r w:rsidRPr="008C3DDC">
        <w:rPr>
          <w:rFonts w:eastAsia="Times New Roman" w:cs="Arial"/>
          <w:color w:val="000000"/>
          <w:sz w:val="20"/>
          <w:szCs w:val="20"/>
        </w:rPr>
        <w:t>|</w:t>
      </w:r>
      <w:r w:rsidRPr="008C3DDC">
        <w:rPr>
          <w:rFonts w:eastAsia="Times New Roman" w:cs="Arial"/>
          <w:sz w:val="20"/>
          <w:szCs w:val="20"/>
        </w:rPr>
        <w:t xml:space="preserve"> </w:t>
      </w:r>
      <w:hyperlink r:id="rId8" w:anchor="REFERENCES" w:history="1">
        <w:r w:rsidRPr="008C3DDC">
          <w:rPr>
            <w:rFonts w:eastAsia="Times New Roman" w:cs="Arial"/>
            <w:color w:val="0000FF"/>
            <w:sz w:val="20"/>
            <w:szCs w:val="20"/>
            <w:u w:val="single"/>
          </w:rPr>
          <w:t>REFERENCES</w:t>
        </w:r>
      </w:hyperlink>
      <w:r w:rsidRPr="008C3DDC">
        <w:rPr>
          <w:rFonts w:eastAsia="Times New Roman" w:cs="Arial"/>
          <w:color w:val="0000FF"/>
          <w:sz w:val="20"/>
          <w:szCs w:val="20"/>
        </w:rPr>
        <w:t xml:space="preserve"> </w:t>
      </w:r>
      <w:r w:rsidRPr="008C3DDC">
        <w:rPr>
          <w:rFonts w:eastAsia="Times New Roman" w:cs="Arial"/>
          <w:sz w:val="20"/>
          <w:szCs w:val="20"/>
        </w:rPr>
        <w:t xml:space="preserve">| </w:t>
      </w:r>
      <w:hyperlink r:id="rId9" w:anchor="WEBSITE" w:history="1">
        <w:r w:rsidRPr="008C3DDC">
          <w:rPr>
            <w:rFonts w:eastAsia="Times New Roman" w:cs="Arial"/>
            <w:color w:val="0000FF"/>
            <w:sz w:val="20"/>
            <w:szCs w:val="20"/>
            <w:u w:val="single"/>
          </w:rPr>
          <w:t>WEBSITE</w:t>
        </w:r>
      </w:hyperlink>
      <w:r w:rsidRPr="008C3DDC">
        <w:rPr>
          <w:rFonts w:eastAsia="Times New Roman" w:cs="Arial"/>
          <w:sz w:val="20"/>
          <w:szCs w:val="20"/>
        </w:rPr>
        <w:t xml:space="preserve"> | </w:t>
      </w:r>
      <w:hyperlink r:id="rId10" w:anchor="INQUIRIES" w:history="1">
        <w:r w:rsidRPr="008C3DDC">
          <w:rPr>
            <w:rFonts w:eastAsia="Times New Roman" w:cs="Arial"/>
            <w:color w:val="0000FF"/>
            <w:sz w:val="20"/>
            <w:szCs w:val="20"/>
            <w:u w:val="single"/>
          </w:rPr>
          <w:t>INQUIRIES</w:t>
        </w:r>
      </w:hyperlink>
      <w:r w:rsidRPr="008C3DDC">
        <w:rPr>
          <w:rFonts w:eastAsia="Times New Roman" w:cs="Arial"/>
          <w:sz w:val="20"/>
          <w:szCs w:val="20"/>
        </w:rPr>
        <w:t xml:space="preserve">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ascii="Times New Roman" w:eastAsia="Times New Roman" w:hAnsi="Times New Roman" w:cs="Times New Roman"/>
          <w:szCs w:val="24"/>
        </w:rPr>
        <w:t> </w:t>
      </w:r>
    </w:p>
    <w:p w:rsidR="008C3DDC" w:rsidRPr="008C3DDC" w:rsidRDefault="008C3DDC" w:rsidP="008C3DDC">
      <w:pPr>
        <w:spacing w:before="100" w:after="100" w:line="240" w:lineRule="auto"/>
        <w:rPr>
          <w:rFonts w:ascii="Times New Roman" w:eastAsia="Times New Roman" w:hAnsi="Times New Roman" w:cs="Times New Roman"/>
          <w:szCs w:val="24"/>
        </w:rPr>
      </w:pPr>
      <w:bookmarkStart w:id="2" w:name="BACKGROUND"/>
      <w:r w:rsidRPr="008C3DDC">
        <w:rPr>
          <w:rFonts w:eastAsia="Times New Roman" w:cs="Times New Roman"/>
          <w:b/>
          <w:sz w:val="20"/>
          <w:szCs w:val="20"/>
        </w:rPr>
        <w:t>BACKGROUND</w:t>
      </w:r>
      <w:bookmarkEnd w:id="2"/>
      <w:r w:rsidRPr="008C3DDC">
        <w:rPr>
          <w:rFonts w:eastAsia="Times New Roman" w:cs="Times New Roman"/>
          <w:b/>
          <w:sz w:val="20"/>
          <w:szCs w:val="20"/>
        </w:rPr>
        <w:t xml:space="preserve">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Under the Workforce Investment Act (WIA) of 1998, administrative funds awarded to Workforce Development Councils (WDCs) are limited to ten percent (10%) of the Youth, Adult, and Dislocated Worker formula funds. Additional funds may be awarded by the Department. Such awards are based on identifiable needs and must be negotiated between the WDC and the Department.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Revision 2 changes the contact information and adds a reference to the Department of </w:t>
      </w:r>
      <w:proofErr w:type="gramStart"/>
      <w:r w:rsidRPr="008C3DDC">
        <w:rPr>
          <w:rFonts w:eastAsia="Times New Roman" w:cs="Times New Roman"/>
          <w:sz w:val="20"/>
          <w:szCs w:val="20"/>
        </w:rPr>
        <w:t>Labor ‘s</w:t>
      </w:r>
      <w:proofErr w:type="gramEnd"/>
      <w:r w:rsidRPr="008C3DDC">
        <w:rPr>
          <w:rFonts w:eastAsia="Times New Roman" w:cs="Times New Roman"/>
          <w:sz w:val="20"/>
          <w:szCs w:val="20"/>
        </w:rPr>
        <w:t xml:space="preserve"> Financial Management Guide. </w:t>
      </w:r>
    </w:p>
    <w:p w:rsidR="008C3DDC" w:rsidRPr="008C3DDC" w:rsidRDefault="008C3DDC" w:rsidP="008C3DDC">
      <w:pPr>
        <w:spacing w:before="100" w:after="100" w:line="240" w:lineRule="auto"/>
        <w:rPr>
          <w:rFonts w:ascii="Times New Roman" w:eastAsia="Times New Roman" w:hAnsi="Times New Roman" w:cs="Times New Roman"/>
          <w:szCs w:val="24"/>
        </w:rPr>
      </w:pPr>
      <w:bookmarkStart w:id="3" w:name="POLICY"/>
      <w:r w:rsidRPr="008C3DDC">
        <w:rPr>
          <w:rFonts w:eastAsia="Times New Roman" w:cs="Times New Roman"/>
          <w:sz w:val="20"/>
          <w:szCs w:val="20"/>
        </w:rPr>
        <w:t xml:space="preserve">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b/>
          <w:sz w:val="20"/>
          <w:szCs w:val="20"/>
        </w:rPr>
        <w:t>POLICY</w:t>
      </w:r>
      <w:bookmarkEnd w:id="3"/>
      <w:r w:rsidRPr="008C3DDC">
        <w:rPr>
          <w:rFonts w:eastAsia="Times New Roman" w:cs="Times New Roman"/>
          <w:b/>
          <w:sz w:val="20"/>
          <w:szCs w:val="20"/>
        </w:rPr>
        <w:t xml:space="preserve">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The State will issues Administrative Cost Pool (ACP) grants, incorporating all administrative funds available to the local WDCs.  The ACP funds lose identity with regard to the original fund source, and are not to be reported against program expenditures.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Only state-authorized funds may be incorporated into the local area ACP.  Funds made available to the WDCs from the Governor’s 10% set-aside are program funds and do not include any administrative funds.  In the event a local area is awarded Governor’s 10% set-aside program funds with an administrative allocation, i.e. State Administrative funds, the administrative funds must be modified into the WDC’s ACP.</w:t>
      </w:r>
      <w:r w:rsidRPr="008C3DDC">
        <w:rPr>
          <w:rFonts w:eastAsia="Times New Roman" w:cs="Times New Roman"/>
          <w:sz w:val="20"/>
          <w:szCs w:val="20"/>
        </w:rPr>
        <w:br/>
      </w:r>
      <w:r w:rsidRPr="008C3DDC">
        <w:rPr>
          <w:rFonts w:eastAsia="Times New Roman" w:cs="Times New Roman"/>
          <w:sz w:val="20"/>
          <w:szCs w:val="20"/>
        </w:rPr>
        <w:br/>
        <w:t xml:space="preserve">A Workforce Development Council's existing ACP can be used to support 10% statewide program activities and Dislocated Worker 25% set-aside program activities.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ascii="Times New Roman" w:eastAsia="Times New Roman" w:hAnsi="Times New Roman" w:cs="Times New Roman"/>
          <w:szCs w:val="24"/>
        </w:rPr>
        <w:t> </w:t>
      </w:r>
    </w:p>
    <w:p w:rsidR="008C3DDC" w:rsidRPr="008C3DDC" w:rsidRDefault="008C3DDC" w:rsidP="008C3DDC">
      <w:pPr>
        <w:spacing w:before="100" w:after="100" w:line="240" w:lineRule="auto"/>
        <w:rPr>
          <w:rFonts w:ascii="Times New Roman" w:eastAsia="Times New Roman" w:hAnsi="Times New Roman" w:cs="Times New Roman"/>
          <w:szCs w:val="24"/>
        </w:rPr>
      </w:pPr>
      <w:bookmarkStart w:id="4" w:name="DEFINITIONS"/>
      <w:r w:rsidRPr="008C3DDC">
        <w:rPr>
          <w:rFonts w:eastAsia="Times New Roman" w:cs="Times New Roman"/>
          <w:b/>
          <w:sz w:val="20"/>
          <w:szCs w:val="20"/>
        </w:rPr>
        <w:t>DEFINITIONS</w:t>
      </w:r>
      <w:bookmarkEnd w:id="4"/>
      <w:r w:rsidRPr="008C3DDC">
        <w:rPr>
          <w:rFonts w:eastAsia="Times New Roman" w:cs="Times New Roman"/>
          <w:b/>
          <w:sz w:val="20"/>
          <w:szCs w:val="20"/>
        </w:rPr>
        <w:t xml:space="preserve">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lastRenderedPageBreak/>
        <w:t>The regulations define administrative costs at 20 CFR 667.220 (a) as the allocable portion of the costs associated with specific functions and not related to the "direct provision of workforce investment services, including services to participants and employers". </w:t>
      </w:r>
      <w:r w:rsidRPr="008C3DDC">
        <w:rPr>
          <w:rFonts w:eastAsia="Times New Roman" w:cs="Times New Roman"/>
          <w:sz w:val="20"/>
          <w:szCs w:val="20"/>
        </w:rPr>
        <w:br/>
      </w:r>
      <w:r w:rsidRPr="008C3DDC">
        <w:rPr>
          <w:rFonts w:eastAsia="Times New Roman" w:cs="Times New Roman"/>
          <w:sz w:val="20"/>
          <w:szCs w:val="20"/>
        </w:rPr>
        <w:br/>
        <w:t>The administrative functions are specified to include the following</w:t>
      </w:r>
      <w:proofErr w:type="gramStart"/>
      <w:r w:rsidRPr="008C3DDC">
        <w:rPr>
          <w:rFonts w:eastAsia="Times New Roman" w:cs="Times New Roman"/>
          <w:sz w:val="20"/>
          <w:szCs w:val="20"/>
        </w:rPr>
        <w:t>:</w:t>
      </w:r>
      <w:proofErr w:type="gramEnd"/>
      <w:r w:rsidRPr="008C3DDC">
        <w:rPr>
          <w:rFonts w:eastAsia="Times New Roman" w:cs="Times New Roman"/>
          <w:sz w:val="20"/>
          <w:szCs w:val="20"/>
        </w:rPr>
        <w:br/>
      </w:r>
      <w:r w:rsidRPr="008C3DDC">
        <w:rPr>
          <w:rFonts w:eastAsia="Times New Roman" w:cs="Times New Roman"/>
          <w:sz w:val="20"/>
          <w:szCs w:val="20"/>
        </w:rPr>
        <w:br/>
        <w:t>-  General administrative functions such as accounting, financial and cash management,</w:t>
      </w:r>
      <w:r w:rsidRPr="008C3DDC">
        <w:rPr>
          <w:rFonts w:eastAsia="Times New Roman" w:cs="Times New Roman"/>
          <w:sz w:val="20"/>
          <w:szCs w:val="20"/>
        </w:rPr>
        <w:br/>
        <w:t>-  Procurement, property management, personnel management, and payroll.</w:t>
      </w:r>
      <w:r w:rsidRPr="008C3DDC">
        <w:rPr>
          <w:rFonts w:eastAsia="Times New Roman" w:cs="Times New Roman"/>
          <w:sz w:val="20"/>
          <w:szCs w:val="20"/>
        </w:rPr>
        <w:br/>
        <w:t>-  Audit functions and those duties associated with coordination the resolution of findings</w:t>
      </w:r>
      <w:r w:rsidRPr="008C3DDC">
        <w:rPr>
          <w:rFonts w:eastAsia="Times New Roman" w:cs="Times New Roman"/>
          <w:sz w:val="20"/>
          <w:szCs w:val="20"/>
        </w:rPr>
        <w:br/>
        <w:t>   originating from audits, monitoring, incident reports, or other investigations.</w:t>
      </w:r>
      <w:r w:rsidRPr="008C3DDC">
        <w:rPr>
          <w:rFonts w:eastAsia="Times New Roman" w:cs="Times New Roman"/>
          <w:sz w:val="20"/>
          <w:szCs w:val="20"/>
        </w:rPr>
        <w:br/>
        <w:t>-  General legal services.</w:t>
      </w:r>
      <w:r w:rsidRPr="008C3DDC">
        <w:rPr>
          <w:rFonts w:eastAsia="Times New Roman" w:cs="Times New Roman"/>
          <w:sz w:val="20"/>
          <w:szCs w:val="20"/>
        </w:rPr>
        <w:br/>
        <w:t>-  Oversight and monitoring of administrative functions.</w:t>
      </w:r>
      <w:r w:rsidRPr="008C3DDC">
        <w:rPr>
          <w:rFonts w:eastAsia="Times New Roman" w:cs="Times New Roman"/>
          <w:sz w:val="20"/>
          <w:szCs w:val="20"/>
        </w:rPr>
        <w:br/>
        <w:t>-  Goods and services used for administrative functions.</w:t>
      </w:r>
      <w:r w:rsidRPr="008C3DDC">
        <w:rPr>
          <w:rFonts w:eastAsia="Times New Roman" w:cs="Times New Roman"/>
          <w:sz w:val="20"/>
          <w:szCs w:val="20"/>
        </w:rPr>
        <w:br/>
        <w:t>-  Developing systems, including information systems, related to administrative functions.</w:t>
      </w:r>
      <w:r w:rsidRPr="008C3DDC">
        <w:rPr>
          <w:rFonts w:eastAsia="Times New Roman" w:cs="Times New Roman"/>
          <w:sz w:val="20"/>
          <w:szCs w:val="20"/>
        </w:rPr>
        <w:br/>
        <w:t xml:space="preserve">-  The costs of awards made to </w:t>
      </w:r>
      <w:proofErr w:type="spellStart"/>
      <w:r w:rsidRPr="008C3DDC">
        <w:rPr>
          <w:rFonts w:eastAsia="Times New Roman" w:cs="Times New Roman"/>
          <w:sz w:val="20"/>
          <w:szCs w:val="20"/>
        </w:rPr>
        <w:t>subrecipient</w:t>
      </w:r>
      <w:proofErr w:type="spellEnd"/>
      <w:r w:rsidRPr="008C3DDC">
        <w:rPr>
          <w:rFonts w:eastAsia="Times New Roman" w:cs="Times New Roman"/>
          <w:sz w:val="20"/>
          <w:szCs w:val="20"/>
        </w:rPr>
        <w:t xml:space="preserve"> or vendor organizations for administrative services of </w:t>
      </w:r>
      <w:r w:rsidRPr="008C3DDC">
        <w:rPr>
          <w:rFonts w:eastAsia="Times New Roman" w:cs="Times New Roman"/>
          <w:sz w:val="20"/>
          <w:szCs w:val="20"/>
        </w:rPr>
        <w:br/>
        <w:t xml:space="preserve">   the awarding agency (for example, a payroll service for staff or participants).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ascii="Times New Roman" w:eastAsia="Times New Roman" w:hAnsi="Times New Roman" w:cs="Times New Roman"/>
          <w:szCs w:val="24"/>
        </w:rPr>
        <w:t> </w:t>
      </w:r>
    </w:p>
    <w:p w:rsidR="008C3DDC" w:rsidRPr="008C3DDC" w:rsidRDefault="008C3DDC" w:rsidP="008C3DDC">
      <w:pPr>
        <w:spacing w:before="100" w:after="100" w:line="240" w:lineRule="auto"/>
        <w:rPr>
          <w:rFonts w:ascii="Times New Roman" w:eastAsia="Times New Roman" w:hAnsi="Times New Roman" w:cs="Times New Roman"/>
          <w:szCs w:val="24"/>
        </w:rPr>
      </w:pPr>
      <w:bookmarkStart w:id="5" w:name="REFERENCES"/>
      <w:r w:rsidRPr="008C3DDC">
        <w:rPr>
          <w:rFonts w:eastAsia="Times New Roman" w:cs="Times New Roman"/>
          <w:b/>
          <w:sz w:val="20"/>
          <w:szCs w:val="20"/>
        </w:rPr>
        <w:t>REFERENCES</w:t>
      </w:r>
      <w:bookmarkEnd w:id="5"/>
      <w:r w:rsidRPr="008C3DDC">
        <w:rPr>
          <w:rFonts w:eastAsia="Times New Roman" w:cs="Times New Roman"/>
          <w:b/>
          <w:sz w:val="20"/>
          <w:szCs w:val="20"/>
        </w:rPr>
        <w:t xml:space="preserve">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All fiscal policies and guidance letters published for WIA are governed, as appropriate, under: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Public Law 105-220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20 CFR Part 652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OMB Circular A-122: Cost Principles for Non Profits;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OMB Circular A-133: Audit of State and Local Government;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OMB Circular A-133: Compliance Supplement;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OMB Circular A- 21: Cost Principles for Education Institutions;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OMB Circular A- 87: Revised Cost Principles for State and Local Government and Indian Tribal Government;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Federal Register Vol. 65, No. 124: Resource Sharing for Workforce Investment Act One-Stop Centers; and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One-Stop Comprehensive Financial Management Technical Assistance Guide (TAG) - July 2002 </w:t>
      </w:r>
    </w:p>
    <w:p w:rsidR="008C3DDC" w:rsidRPr="008C3DDC" w:rsidRDefault="008C3DDC" w:rsidP="008C3DDC">
      <w:pPr>
        <w:numPr>
          <w:ilvl w:val="0"/>
          <w:numId w:val="1"/>
        </w:num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Generally Accepted Accounting Procedures (GAAP)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ascii="Times New Roman" w:eastAsia="Times New Roman" w:hAnsi="Times New Roman" w:cs="Times New Roman"/>
          <w:szCs w:val="24"/>
        </w:rPr>
        <w:t> </w:t>
      </w:r>
    </w:p>
    <w:p w:rsidR="008C3DDC" w:rsidRPr="008C3DDC" w:rsidRDefault="008C3DDC" w:rsidP="008C3DDC">
      <w:pPr>
        <w:spacing w:before="100" w:after="100" w:line="240" w:lineRule="auto"/>
        <w:rPr>
          <w:rFonts w:ascii="Times New Roman" w:eastAsia="Times New Roman" w:hAnsi="Times New Roman" w:cs="Times New Roman"/>
          <w:szCs w:val="24"/>
        </w:rPr>
      </w:pPr>
      <w:bookmarkStart w:id="6" w:name="WEBSITE"/>
      <w:r w:rsidRPr="008C3DDC">
        <w:rPr>
          <w:rFonts w:eastAsia="Times New Roman" w:cs="Times New Roman"/>
          <w:b/>
          <w:sz w:val="20"/>
          <w:szCs w:val="20"/>
        </w:rPr>
        <w:t>WEBSITE</w:t>
      </w:r>
      <w:bookmarkEnd w:id="6"/>
      <w:r w:rsidRPr="008C3DDC">
        <w:rPr>
          <w:rFonts w:eastAsia="Times New Roman" w:cs="Times New Roman"/>
          <w:b/>
          <w:sz w:val="20"/>
          <w:szCs w:val="20"/>
        </w:rPr>
        <w:t xml:space="preserve"> </w:t>
      </w:r>
    </w:p>
    <w:p w:rsidR="008C3DDC" w:rsidRPr="008C3DDC" w:rsidRDefault="008C3DDC" w:rsidP="008C3DDC">
      <w:pPr>
        <w:spacing w:before="100" w:after="100" w:line="240" w:lineRule="auto"/>
        <w:rPr>
          <w:rFonts w:ascii="Times New Roman" w:eastAsia="Times New Roman" w:hAnsi="Times New Roman" w:cs="Times New Roman"/>
          <w:szCs w:val="24"/>
        </w:rPr>
      </w:pPr>
      <w:hyperlink r:id="rId11" w:history="1">
        <w:r w:rsidRPr="008C3DDC">
          <w:rPr>
            <w:rFonts w:eastAsia="Times New Roman" w:cs="Times New Roman"/>
            <w:color w:val="0000FF"/>
            <w:sz w:val="20"/>
            <w:szCs w:val="20"/>
            <w:u w:val="single"/>
          </w:rPr>
          <w:t>http://www.wa.gov/esd/policies/title1b.htm</w:t>
        </w:r>
      </w:hyperlink>
      <w:r w:rsidRPr="008C3DDC">
        <w:rPr>
          <w:rFonts w:eastAsia="Times New Roman" w:cs="Times New Roman"/>
          <w:sz w:val="20"/>
          <w:szCs w:val="20"/>
        </w:rPr>
        <w:t xml:space="preserve">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ascii="Times New Roman" w:eastAsia="Times New Roman" w:hAnsi="Times New Roman" w:cs="Times New Roman"/>
          <w:szCs w:val="24"/>
        </w:rPr>
        <w:t>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b/>
          <w:sz w:val="20"/>
          <w:szCs w:val="20"/>
        </w:rPr>
        <w:t xml:space="preserve">SUPERCEDES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sz w:val="20"/>
          <w:szCs w:val="20"/>
        </w:rPr>
        <w:t xml:space="preserve">Policy 3235, Revision #1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ascii="Times New Roman" w:eastAsia="Times New Roman" w:hAnsi="Times New Roman" w:cs="Times New Roman"/>
          <w:szCs w:val="24"/>
        </w:rPr>
        <w:t> </w:t>
      </w:r>
    </w:p>
    <w:p w:rsidR="008C3DDC" w:rsidRPr="008C3DDC" w:rsidRDefault="008C3DDC" w:rsidP="008C3DDC">
      <w:pPr>
        <w:spacing w:before="100" w:after="100" w:line="240" w:lineRule="auto"/>
        <w:rPr>
          <w:rFonts w:ascii="Times New Roman" w:eastAsia="Times New Roman" w:hAnsi="Times New Roman" w:cs="Times New Roman"/>
          <w:szCs w:val="24"/>
        </w:rPr>
      </w:pPr>
      <w:r w:rsidRPr="008C3DDC">
        <w:rPr>
          <w:rFonts w:eastAsia="Times New Roman" w:cs="Times New Roman"/>
          <w:b/>
          <w:sz w:val="20"/>
          <w:szCs w:val="20"/>
        </w:rPr>
        <w:t xml:space="preserve">DIRECT </w:t>
      </w:r>
      <w:bookmarkStart w:id="7" w:name="INQUIRIES"/>
      <w:r w:rsidRPr="008C3DDC">
        <w:rPr>
          <w:rFonts w:eastAsia="Times New Roman" w:cs="Times New Roman"/>
          <w:b/>
          <w:sz w:val="20"/>
          <w:szCs w:val="20"/>
        </w:rPr>
        <w:t>INQUIRIES</w:t>
      </w:r>
      <w:bookmarkEnd w:id="7"/>
      <w:r w:rsidRPr="008C3DDC">
        <w:rPr>
          <w:rFonts w:eastAsia="Times New Roman" w:cs="Times New Roman"/>
          <w:b/>
          <w:sz w:val="20"/>
          <w:szCs w:val="20"/>
        </w:rPr>
        <w:t xml:space="preserve"> TO </w:t>
      </w:r>
    </w:p>
    <w:p w:rsidR="00F65F93" w:rsidRDefault="008C3DDC" w:rsidP="008C3DDC">
      <w:r w:rsidRPr="008C3DDC">
        <w:rPr>
          <w:rFonts w:eastAsia="Times New Roman" w:cs="Times New Roman"/>
          <w:sz w:val="20"/>
          <w:szCs w:val="20"/>
        </w:rPr>
        <w:t xml:space="preserve">Kim </w:t>
      </w:r>
      <w:proofErr w:type="gramStart"/>
      <w:r w:rsidRPr="008C3DDC">
        <w:rPr>
          <w:rFonts w:eastAsia="Times New Roman" w:cs="Times New Roman"/>
          <w:sz w:val="20"/>
          <w:szCs w:val="20"/>
        </w:rPr>
        <w:t>Anensen</w:t>
      </w:r>
      <w:r w:rsidRPr="008C3DDC">
        <w:rPr>
          <w:rFonts w:eastAsia="Times New Roman" w:cs="Arial"/>
          <w:sz w:val="20"/>
          <w:szCs w:val="20"/>
        </w:rPr>
        <w:t xml:space="preserve"> </w:t>
      </w:r>
      <w:r w:rsidRPr="008C3DDC">
        <w:rPr>
          <w:rFonts w:eastAsia="Times New Roman" w:cs="Times New Roman"/>
          <w:sz w:val="20"/>
          <w:szCs w:val="20"/>
        </w:rPr>
        <w:t>,</w:t>
      </w:r>
      <w:proofErr w:type="gramEnd"/>
      <w:r w:rsidRPr="008C3DDC">
        <w:rPr>
          <w:rFonts w:eastAsia="Times New Roman" w:cs="Times New Roman"/>
          <w:sz w:val="20"/>
          <w:szCs w:val="20"/>
        </w:rPr>
        <w:t xml:space="preserve"> Fiscal Manager</w:t>
      </w:r>
      <w:r w:rsidRPr="008C3DDC">
        <w:rPr>
          <w:rFonts w:eastAsia="Times New Roman" w:cs="Times New Roman"/>
          <w:sz w:val="20"/>
          <w:szCs w:val="20"/>
        </w:rPr>
        <w:br/>
        <w:t>Employment Security Department</w:t>
      </w:r>
      <w:r w:rsidRPr="008C3DDC">
        <w:rPr>
          <w:rFonts w:eastAsia="Times New Roman" w:cs="Times New Roman"/>
          <w:sz w:val="20"/>
          <w:szCs w:val="20"/>
        </w:rPr>
        <w:br/>
        <w:t>P.O. Box 9046, MS 6000</w:t>
      </w:r>
      <w:r w:rsidRPr="008C3DDC">
        <w:rPr>
          <w:rFonts w:eastAsia="Times New Roman" w:cs="Times New Roman"/>
          <w:sz w:val="20"/>
          <w:szCs w:val="20"/>
        </w:rPr>
        <w:br/>
        <w:t>Olympia, WA 98507-9046</w:t>
      </w:r>
      <w:r w:rsidRPr="008C3DDC">
        <w:rPr>
          <w:rFonts w:eastAsia="Times New Roman" w:cs="Times New Roman"/>
          <w:sz w:val="20"/>
          <w:szCs w:val="20"/>
        </w:rPr>
        <w:br/>
        <w:t xml:space="preserve">E-Mail: </w:t>
      </w:r>
      <w:hyperlink r:id="rId12" w:history="1">
        <w:r w:rsidRPr="008C3DDC">
          <w:rPr>
            <w:rFonts w:eastAsia="Times New Roman" w:cs="Times New Roman"/>
            <w:color w:val="0000FF"/>
            <w:sz w:val="20"/>
            <w:szCs w:val="20"/>
            <w:u w:val="single"/>
          </w:rPr>
          <w:t>kanensen@esd.wa.gov</w:t>
        </w:r>
      </w:hyperlink>
      <w:r w:rsidRPr="008C3DDC">
        <w:rPr>
          <w:rFonts w:eastAsia="Times New Roman" w:cs="Times New Roman"/>
          <w:sz w:val="20"/>
          <w:szCs w:val="20"/>
        </w:rPr>
        <w:t xml:space="preserve">  </w:t>
      </w:r>
      <w:r w:rsidRPr="008C3DDC">
        <w:rPr>
          <w:rFonts w:eastAsia="Times New Roman" w:cs="Times New Roman"/>
          <w:sz w:val="20"/>
          <w:szCs w:val="20"/>
        </w:rPr>
        <w:br/>
      </w:r>
      <w:r w:rsidRPr="008C3DDC">
        <w:rPr>
          <w:rFonts w:eastAsia="Times New Roman" w:cs="Times New Roman"/>
          <w:sz w:val="20"/>
          <w:szCs w:val="20"/>
        </w:rPr>
        <w:lastRenderedPageBreak/>
        <w:t>Telephone: (360) 902-9525</w:t>
      </w:r>
      <w:r w:rsidRPr="008C3DDC">
        <w:rPr>
          <w:rFonts w:eastAsia="Times New Roman" w:cs="Times New Roman"/>
          <w:sz w:val="20"/>
          <w:szCs w:val="20"/>
        </w:rPr>
        <w:br/>
        <w:t>FAX: (360) 902-9520</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1E8D"/>
    <w:multiLevelType w:val="multilevel"/>
    <w:tmpl w:val="8806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DC"/>
    <w:rsid w:val="008C3DDC"/>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216CB-2BB9-4F07-9C29-117D8705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8C3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235rev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gov/esd/1stop/policies/documents/archive/3235rev2.htm" TargetMode="External"/><Relationship Id="rId12" Type="http://schemas.openxmlformats.org/officeDocument/2006/relationships/hyperlink" Target="mailto:kanensen@esd.wa.gov"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wa.gov/esd/1stop/policies/documents/archive/3235rev2.htm" TargetMode="External"/><Relationship Id="rId11" Type="http://schemas.openxmlformats.org/officeDocument/2006/relationships/hyperlink" Target="http://www.wa.gov/esd/policies/title1b.htm" TargetMode="External"/><Relationship Id="rId5" Type="http://schemas.openxmlformats.org/officeDocument/2006/relationships/hyperlink" Target="http://www.wa.gov/esd/1stop/policies/documents/archive/3235rev2.htm" TargetMode="External"/><Relationship Id="rId15" Type="http://schemas.openxmlformats.org/officeDocument/2006/relationships/customXml" Target="../customXml/item1.xml"/><Relationship Id="rId10" Type="http://schemas.openxmlformats.org/officeDocument/2006/relationships/hyperlink" Target="http://www.wa.gov/esd/1stop/policies/documents/archive/3235rev2.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235rev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E1992-78E1-487C-B7E7-ABE30089BBBA}"/>
</file>

<file path=customXml/itemProps2.xml><?xml version="1.0" encoding="utf-8"?>
<ds:datastoreItem xmlns:ds="http://schemas.openxmlformats.org/officeDocument/2006/customXml" ds:itemID="{38888094-2852-4246-B4A8-C93AE9B2F4D8}"/>
</file>

<file path=customXml/itemProps3.xml><?xml version="1.0" encoding="utf-8"?>
<ds:datastoreItem xmlns:ds="http://schemas.openxmlformats.org/officeDocument/2006/customXml" ds:itemID="{14BE7C09-EA51-4AD4-813E-0145C8ACA6EF}"/>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Company>ESD - State Of Washington</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2017-05-18T23:02:00Z</dcterms:created>
  <dcterms:modified xsi:type="dcterms:W3CDTF">2017-05-18T23:02:00Z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