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12" w:rsidRPr="007E7412" w:rsidRDefault="007E7412" w:rsidP="007E7412">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r w:rsidRPr="007E7412">
        <w:rPr>
          <w:rFonts w:eastAsia="Times New Roman" w:cs="Arial"/>
          <w:b/>
          <w:bCs/>
          <w:color w:val="FF0000"/>
          <w:szCs w:val="24"/>
        </w:rPr>
        <w:t>Workforce</w:t>
      </w:r>
      <w:bookmarkEnd w:id="0"/>
      <w:r w:rsidRPr="007E7412">
        <w:rPr>
          <w:rFonts w:eastAsia="Times New Roman" w:cs="Arial"/>
          <w:b/>
          <w:bCs/>
          <w:color w:val="FF0000"/>
          <w:szCs w:val="24"/>
        </w:rPr>
        <w:t xml:space="preserve"> Investment Act Title I-B</w:t>
      </w:r>
      <w:r w:rsidRPr="007E7412">
        <w:rPr>
          <w:rFonts w:eastAsia="Times New Roman" w:cs="Arial"/>
          <w:b/>
          <w:bCs/>
          <w:color w:val="FF0000"/>
          <w:szCs w:val="24"/>
        </w:rPr>
        <w:br/>
      </w:r>
      <w:r w:rsidRPr="007E7412">
        <w:rPr>
          <w:rFonts w:eastAsia="Times New Roman" w:cs="Arial"/>
          <w:b/>
          <w:bCs/>
          <w:sz w:val="20"/>
          <w:szCs w:val="20"/>
        </w:rPr>
        <w:t>Washington State Policies</w:t>
      </w:r>
    </w:p>
    <w:p w:rsidR="007E7412" w:rsidRPr="007E7412" w:rsidRDefault="007E7412" w:rsidP="007E7412">
      <w:pPr>
        <w:spacing w:before="100" w:beforeAutospacing="1" w:after="100" w:afterAutospacing="1" w:line="240" w:lineRule="auto"/>
        <w:jc w:val="center"/>
        <w:rPr>
          <w:rFonts w:ascii="Times New Roman" w:eastAsia="Times New Roman" w:hAnsi="Times New Roman" w:cs="Times New Roman"/>
          <w:b/>
          <w:bCs/>
          <w:szCs w:val="24"/>
        </w:rPr>
      </w:pPr>
      <w:r w:rsidRPr="007E7412">
        <w:rPr>
          <w:rFonts w:ascii="Times New Roman" w:eastAsia="Times New Roman" w:hAnsi="Times New Roman" w:cs="Times New Roman"/>
          <w:b/>
          <w:bCs/>
          <w:noProof/>
          <w:szCs w:val="24"/>
        </w:rPr>
        <mc:AlternateContent>
          <mc:Choice Requires="wps">
            <w:drawing>
              <wp:inline distT="0" distB="0" distL="0" distR="0">
                <wp:extent cx="5422900" cy="38100"/>
                <wp:effectExtent l="0" t="0" r="0" b="0"/>
                <wp:docPr id="1" name="Rectangle 1" descr="http://www.wa.gov/esd/1stop/policies/documents/archive/3220rev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29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7BFAD" id="Rectangle 1" o:spid="_x0000_s1026" alt="http://www.wa.gov/esd/1stop/policies/documents/archive/3220rev1.htm" style="width:427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" filled="f" stroked="f">
                <o:lock v:ext="edit" aspectratio="t"/>
                <w10:anchorlock/>
              </v:rect>
            </w:pict>
          </mc:Fallback>
        </mc:AlternateContent>
      </w:r>
    </w:p>
    <w:p w:rsidR="007E7412" w:rsidRPr="007E7412" w:rsidRDefault="007E7412" w:rsidP="007E7412">
      <w:pPr>
        <w:spacing w:before="100" w:after="100" w:line="240" w:lineRule="auto"/>
        <w:jc w:val="center"/>
        <w:rPr>
          <w:rFonts w:ascii="Times New Roman" w:eastAsia="Times New Roman" w:hAnsi="Times New Roman" w:cs="Times New Roman"/>
          <w:szCs w:val="24"/>
        </w:rPr>
      </w:pPr>
      <w:r w:rsidRPr="007E7412">
        <w:rPr>
          <w:rFonts w:eastAsia="Times New Roman" w:cs="Times New Roman"/>
          <w:b/>
          <w:sz w:val="20"/>
          <w:szCs w:val="20"/>
        </w:rPr>
        <w:t>SECTION B: Fiscal Controls and Accounting Guidelines</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eastAsia="Times New Roman" w:cs="Times New Roman"/>
          <w:i/>
          <w:sz w:val="20"/>
          <w:szCs w:val="20"/>
        </w:rPr>
        <w:t xml:space="preserve">This document has been formatted for use on this web site. It contains hyperlinks that enable the user to jump directly to specific areas within the document or to related documents.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eastAsia="Times New Roman" w:cs="Times New Roman"/>
          <w:i/>
          <w:sz w:val="20"/>
          <w:szCs w:val="20"/>
        </w:rPr>
        <w:t xml:space="preserve">Grantees, </w:t>
      </w:r>
      <w:proofErr w:type="spellStart"/>
      <w:r w:rsidRPr="007E7412">
        <w:rPr>
          <w:rFonts w:eastAsia="Times New Roman" w:cs="Times New Roman"/>
          <w:i/>
          <w:sz w:val="20"/>
          <w:szCs w:val="20"/>
        </w:rPr>
        <w:t>subrecipients</w:t>
      </w:r>
      <w:proofErr w:type="spellEnd"/>
      <w:r w:rsidRPr="007E7412">
        <w:rPr>
          <w:rFonts w:eastAsia="Times New Roman" w:cs="Times New Roman"/>
          <w:i/>
          <w:sz w:val="20"/>
          <w:szCs w:val="20"/>
        </w:rPr>
        <w:t>,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ascii="Times New Roman" w:eastAsia="Times New Roman" w:hAnsi="Times New Roman" w:cs="Times New Roman"/>
          <w:szCs w:val="24"/>
        </w:rPr>
        <w:t> </w:t>
      </w:r>
    </w:p>
    <w:tbl>
      <w:tblPr>
        <w:tblW w:w="7752" w:type="dxa"/>
        <w:tblCellSpacing w:w="15" w:type="dxa"/>
        <w:tblCellMar>
          <w:top w:w="48" w:type="dxa"/>
          <w:left w:w="48" w:type="dxa"/>
          <w:bottom w:w="48" w:type="dxa"/>
          <w:right w:w="48" w:type="dxa"/>
        </w:tblCellMar>
        <w:tblLook w:val="04A0" w:firstRow="1" w:lastRow="0" w:firstColumn="1" w:lastColumn="0" w:noHBand="0" w:noVBand="1"/>
      </w:tblPr>
      <w:tblGrid>
        <w:gridCol w:w="2208"/>
        <w:gridCol w:w="5544"/>
      </w:tblGrid>
      <w:tr w:rsidR="007E7412" w:rsidRPr="007E7412">
        <w:trPr>
          <w:tblCellSpacing w:w="15" w:type="dxa"/>
        </w:trPr>
        <w:tc>
          <w:tcPr>
            <w:tcW w:w="2100" w:type="dxa"/>
            <w:vAlign w:val="center"/>
            <w:hideMark/>
          </w:tcPr>
          <w:p w:rsidR="007E7412" w:rsidRPr="007E7412" w:rsidRDefault="007E7412" w:rsidP="007E7412">
            <w:pPr>
              <w:spacing w:after="0" w:line="240" w:lineRule="auto"/>
              <w:rPr>
                <w:rFonts w:ascii="Times New Roman" w:eastAsia="Times New Roman" w:hAnsi="Times New Roman" w:cs="Times New Roman"/>
                <w:szCs w:val="24"/>
              </w:rPr>
            </w:pPr>
            <w:r w:rsidRPr="007E7412">
              <w:rPr>
                <w:rFonts w:eastAsia="Times New Roman" w:cs="Arial"/>
                <w:b/>
                <w:bCs/>
                <w:sz w:val="20"/>
                <w:szCs w:val="20"/>
              </w:rPr>
              <w:t>EFFECTIVE DATE:</w:t>
            </w:r>
            <w:r w:rsidRPr="007E7412">
              <w:rPr>
                <w:rFonts w:eastAsia="Times New Roman" w:cs="Arial"/>
                <w:b/>
                <w:bCs/>
                <w:sz w:val="20"/>
                <w:szCs w:val="20"/>
              </w:rPr>
              <w:br/>
              <w:t>WIA POLICY NUMBER:</w:t>
            </w:r>
            <w:r w:rsidRPr="007E7412">
              <w:rPr>
                <w:rFonts w:eastAsia="Times New Roman" w:cs="Arial"/>
                <w:b/>
                <w:bCs/>
                <w:sz w:val="20"/>
                <w:szCs w:val="20"/>
              </w:rPr>
              <w:br/>
              <w:t>SUBJECT:</w:t>
            </w:r>
          </w:p>
        </w:tc>
        <w:tc>
          <w:tcPr>
            <w:tcW w:w="5340" w:type="dxa"/>
            <w:vAlign w:val="center"/>
            <w:hideMark/>
          </w:tcPr>
          <w:p w:rsidR="007E7412" w:rsidRPr="007E7412" w:rsidRDefault="007E7412" w:rsidP="007E7412">
            <w:pPr>
              <w:spacing w:after="0" w:line="240" w:lineRule="auto"/>
              <w:rPr>
                <w:rFonts w:ascii="Times New Roman" w:eastAsia="Times New Roman" w:hAnsi="Times New Roman" w:cs="Times New Roman"/>
                <w:szCs w:val="24"/>
              </w:rPr>
            </w:pPr>
            <w:r w:rsidRPr="007E7412">
              <w:rPr>
                <w:rFonts w:eastAsia="Times New Roman" w:cs="Arial"/>
                <w:sz w:val="20"/>
                <w:szCs w:val="20"/>
              </w:rPr>
              <w:t>January 9, 2006</w:t>
            </w:r>
            <w:r w:rsidRPr="007E7412">
              <w:rPr>
                <w:rFonts w:eastAsia="Times New Roman" w:cs="Arial"/>
                <w:sz w:val="20"/>
                <w:szCs w:val="20"/>
              </w:rPr>
              <w:br/>
              <w:t>3220, Revision 1</w:t>
            </w:r>
            <w:r w:rsidRPr="007E7412">
              <w:rPr>
                <w:rFonts w:eastAsia="Times New Roman" w:cs="Arial"/>
                <w:sz w:val="20"/>
                <w:szCs w:val="20"/>
              </w:rPr>
              <w:br/>
              <w:t xml:space="preserve">Program Income </w:t>
            </w:r>
          </w:p>
        </w:tc>
      </w:tr>
    </w:tbl>
    <w:p w:rsidR="007E7412" w:rsidRPr="007E7412" w:rsidRDefault="007E7412" w:rsidP="007E7412">
      <w:pPr>
        <w:spacing w:before="100" w:after="100" w:line="240" w:lineRule="auto"/>
        <w:jc w:val="center"/>
        <w:rPr>
          <w:rFonts w:ascii="Times New Roman" w:eastAsia="Times New Roman" w:hAnsi="Times New Roman" w:cs="Times New Roman"/>
          <w:szCs w:val="24"/>
        </w:rPr>
      </w:pPr>
      <w:r w:rsidRPr="007E7412">
        <w:rPr>
          <w:rFonts w:ascii="Times New Roman" w:eastAsia="Times New Roman" w:hAnsi="Times New Roman" w:cs="Times New Roman"/>
          <w:szCs w:val="24"/>
        </w:rPr>
        <w:t> </w:t>
      </w:r>
    </w:p>
    <w:p w:rsidR="007E7412" w:rsidRPr="007E7412" w:rsidRDefault="007E7412" w:rsidP="007E7412">
      <w:pPr>
        <w:spacing w:before="100" w:after="100" w:line="240" w:lineRule="auto"/>
        <w:jc w:val="center"/>
        <w:rPr>
          <w:rFonts w:ascii="Times New Roman" w:eastAsia="Times New Roman" w:hAnsi="Times New Roman" w:cs="Times New Roman"/>
          <w:szCs w:val="24"/>
        </w:rPr>
      </w:pPr>
      <w:hyperlink r:id="rId5" w:anchor="BACKGROUND" w:history="1">
        <w:r w:rsidRPr="007E7412">
          <w:rPr>
            <w:rFonts w:eastAsia="Times New Roman" w:cs="Arial"/>
            <w:color w:val="0000FF"/>
            <w:sz w:val="20"/>
            <w:szCs w:val="20"/>
            <w:u w:val="single"/>
          </w:rPr>
          <w:t>BACKGROUND</w:t>
        </w:r>
      </w:hyperlink>
      <w:r w:rsidRPr="007E7412">
        <w:rPr>
          <w:rFonts w:eastAsia="Times New Roman" w:cs="Arial"/>
          <w:sz w:val="20"/>
          <w:szCs w:val="20"/>
        </w:rPr>
        <w:t xml:space="preserve"> | </w:t>
      </w:r>
      <w:hyperlink r:id="rId6" w:anchor="POLICY" w:history="1">
        <w:r w:rsidRPr="007E7412">
          <w:rPr>
            <w:rFonts w:eastAsia="Times New Roman" w:cs="Arial"/>
            <w:color w:val="0000FF"/>
            <w:sz w:val="20"/>
            <w:szCs w:val="20"/>
            <w:u w:val="single"/>
          </w:rPr>
          <w:t>POLICY</w:t>
        </w:r>
      </w:hyperlink>
      <w:r w:rsidRPr="007E7412">
        <w:rPr>
          <w:rFonts w:eastAsia="Times New Roman" w:cs="Arial"/>
          <w:sz w:val="20"/>
          <w:szCs w:val="20"/>
        </w:rPr>
        <w:t xml:space="preserve"> |</w:t>
      </w:r>
      <w:r w:rsidRPr="007E7412">
        <w:rPr>
          <w:rFonts w:eastAsia="Times New Roman" w:cs="Arial"/>
          <w:color w:val="0000FF"/>
          <w:sz w:val="20"/>
          <w:szCs w:val="20"/>
        </w:rPr>
        <w:t xml:space="preserve"> </w:t>
      </w:r>
      <w:hyperlink r:id="rId7" w:anchor="DEFINITIONS" w:history="1">
        <w:r w:rsidRPr="007E7412">
          <w:rPr>
            <w:rFonts w:eastAsia="Times New Roman" w:cs="Arial"/>
            <w:color w:val="0000FF"/>
            <w:sz w:val="20"/>
            <w:szCs w:val="20"/>
            <w:u w:val="single"/>
          </w:rPr>
          <w:t>DEFINITIONS</w:t>
        </w:r>
      </w:hyperlink>
      <w:r w:rsidRPr="007E7412">
        <w:rPr>
          <w:rFonts w:eastAsia="Times New Roman" w:cs="Arial"/>
          <w:sz w:val="20"/>
          <w:szCs w:val="20"/>
        </w:rPr>
        <w:t xml:space="preserve"> | </w:t>
      </w:r>
      <w:hyperlink r:id="rId8" w:anchor="REFERENCES" w:history="1">
        <w:r w:rsidRPr="007E7412">
          <w:rPr>
            <w:rFonts w:eastAsia="Times New Roman" w:cs="Arial"/>
            <w:color w:val="0000FF"/>
            <w:sz w:val="20"/>
            <w:szCs w:val="20"/>
            <w:u w:val="single"/>
          </w:rPr>
          <w:t>REFERENCES</w:t>
        </w:r>
        <w:r w:rsidRPr="007E7412">
          <w:rPr>
            <w:rFonts w:eastAsia="Times New Roman" w:cs="Arial"/>
            <w:color w:val="0000FF"/>
            <w:sz w:val="20"/>
            <w:szCs w:val="20"/>
            <w:u w:val="single"/>
          </w:rPr>
          <w:br/>
        </w:r>
      </w:hyperlink>
      <w:hyperlink r:id="rId9" w:anchor="SUPERSEDES" w:history="1">
        <w:r w:rsidRPr="007E7412">
          <w:rPr>
            <w:rFonts w:eastAsia="Times New Roman" w:cs="Arial"/>
            <w:color w:val="0000FF"/>
            <w:sz w:val="20"/>
            <w:szCs w:val="20"/>
            <w:u w:val="single"/>
          </w:rPr>
          <w:t>SUPERSEDES</w:t>
        </w:r>
      </w:hyperlink>
      <w:r w:rsidRPr="007E7412">
        <w:rPr>
          <w:rFonts w:eastAsia="Times New Roman" w:cs="Arial"/>
          <w:sz w:val="20"/>
          <w:szCs w:val="20"/>
        </w:rPr>
        <w:t xml:space="preserve"> | </w:t>
      </w:r>
      <w:hyperlink r:id="rId10" w:anchor="WEBSITE" w:history="1">
        <w:r w:rsidRPr="007E7412">
          <w:rPr>
            <w:rFonts w:eastAsia="Times New Roman" w:cs="Arial"/>
            <w:color w:val="0000FF"/>
            <w:sz w:val="20"/>
            <w:szCs w:val="20"/>
            <w:u w:val="single"/>
          </w:rPr>
          <w:t>WEBSITE</w:t>
        </w:r>
      </w:hyperlink>
      <w:r w:rsidRPr="007E7412">
        <w:rPr>
          <w:rFonts w:eastAsia="Times New Roman" w:cs="Arial"/>
          <w:sz w:val="20"/>
          <w:szCs w:val="20"/>
        </w:rPr>
        <w:t xml:space="preserve"> | </w:t>
      </w:r>
      <w:hyperlink r:id="rId11" w:anchor="INQUIRIES" w:history="1">
        <w:r w:rsidRPr="007E7412">
          <w:rPr>
            <w:rFonts w:eastAsia="Times New Roman" w:cs="Arial"/>
            <w:color w:val="0000FF"/>
            <w:sz w:val="20"/>
            <w:szCs w:val="20"/>
            <w:u w:val="single"/>
          </w:rPr>
          <w:t>INQUIRIES</w:t>
        </w:r>
      </w:hyperlink>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ascii="Times New Roman" w:eastAsia="Times New Roman" w:hAnsi="Times New Roman" w:cs="Times New Roman"/>
          <w:szCs w:val="24"/>
        </w:rPr>
        <w:t>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ascii="Times New Roman" w:eastAsia="Times New Roman" w:hAnsi="Times New Roman" w:cs="Times New Roman"/>
          <w:szCs w:val="24"/>
        </w:rPr>
        <w:t> </w:t>
      </w:r>
    </w:p>
    <w:p w:rsidR="007E7412" w:rsidRPr="007E7412" w:rsidRDefault="007E7412" w:rsidP="007E7412">
      <w:pPr>
        <w:spacing w:before="100" w:after="100" w:line="240" w:lineRule="auto"/>
        <w:rPr>
          <w:rFonts w:ascii="Times New Roman" w:eastAsia="Times New Roman" w:hAnsi="Times New Roman" w:cs="Times New Roman"/>
          <w:szCs w:val="24"/>
        </w:rPr>
      </w:pPr>
      <w:bookmarkStart w:id="1" w:name="BACKGROUND"/>
      <w:r w:rsidRPr="007E7412">
        <w:rPr>
          <w:rFonts w:eastAsia="Times New Roman" w:cs="Times New Roman"/>
          <w:b/>
          <w:sz w:val="20"/>
          <w:szCs w:val="20"/>
        </w:rPr>
        <w:t>BACKGROUND</w:t>
      </w:r>
      <w:bookmarkEnd w:id="1"/>
      <w:r w:rsidRPr="007E7412">
        <w:rPr>
          <w:rFonts w:eastAsia="Times New Roman" w:cs="Times New Roman"/>
          <w:sz w:val="20"/>
          <w:szCs w:val="20"/>
        </w:rPr>
        <w:t xml:space="preserve">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Revision 1 changes the contact information for this policy and adds clarifying changes on reporting program income and meeting cash management expenditure requirements.</w:t>
      </w:r>
      <w:r w:rsidRPr="007E7412">
        <w:rPr>
          <w:rFonts w:eastAsia="Times New Roman" w:cs="Times New Roman"/>
          <w:b/>
          <w:sz w:val="20"/>
          <w:szCs w:val="20"/>
        </w:rPr>
        <w:t xml:space="preserve"> </w:t>
      </w:r>
    </w:p>
    <w:p w:rsidR="007E7412" w:rsidRPr="007E7412" w:rsidRDefault="007E7412" w:rsidP="007E7412">
      <w:pPr>
        <w:spacing w:before="100" w:after="100" w:line="240" w:lineRule="auto"/>
        <w:rPr>
          <w:rFonts w:ascii="Times New Roman" w:eastAsia="Times New Roman" w:hAnsi="Times New Roman" w:cs="Times New Roman"/>
          <w:szCs w:val="24"/>
        </w:rPr>
      </w:pPr>
      <w:bookmarkStart w:id="2" w:name="POLICY"/>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eastAsia="Times New Roman" w:cs="Times New Roman"/>
          <w:b/>
          <w:sz w:val="20"/>
          <w:szCs w:val="20"/>
        </w:rPr>
        <w:t>POLICY</w:t>
      </w:r>
      <w:bookmarkEnd w:id="2"/>
      <w:r w:rsidRPr="007E7412">
        <w:rPr>
          <w:rFonts w:eastAsia="Times New Roman" w:cs="Times New Roman"/>
          <w:sz w:val="20"/>
          <w:szCs w:val="20"/>
        </w:rPr>
        <w:t xml:space="preserve"> </w:t>
      </w:r>
    </w:p>
    <w:p w:rsidR="007E7412" w:rsidRPr="007E7412" w:rsidRDefault="007E7412" w:rsidP="007E7412">
      <w:pPr>
        <w:numPr>
          <w:ilvl w:val="0"/>
          <w:numId w:val="1"/>
        </w:numPr>
        <w:spacing w:before="100" w:after="100" w:line="240" w:lineRule="auto"/>
        <w:rPr>
          <w:rFonts w:eastAsia="Times New Roman" w:cs="Arial"/>
          <w:sz w:val="20"/>
          <w:szCs w:val="20"/>
        </w:rPr>
      </w:pPr>
      <w:r w:rsidRPr="007E7412">
        <w:rPr>
          <w:rFonts w:eastAsia="Times New Roman" w:cs="Times New Roman"/>
          <w:sz w:val="20"/>
          <w:szCs w:val="20"/>
        </w:rPr>
        <w:t>Program Income Requirements for Workforce Development Area (WDA) Fiscal Agents:</w:t>
      </w:r>
      <w:r w:rsidRPr="007E7412">
        <w:rPr>
          <w:rFonts w:eastAsia="Times New Roman" w:cs="Times New Roman"/>
          <w:sz w:val="20"/>
          <w:szCs w:val="20"/>
        </w:rPr>
        <w:br/>
        <w:t xml:space="preserve">    </w:t>
      </w:r>
    </w:p>
    <w:p w:rsidR="007E7412" w:rsidRPr="007E7412" w:rsidRDefault="007E7412" w:rsidP="007E7412">
      <w:pPr>
        <w:numPr>
          <w:ilvl w:val="1"/>
          <w:numId w:val="1"/>
        </w:numPr>
        <w:spacing w:before="100" w:after="100" w:line="240" w:lineRule="auto"/>
        <w:rPr>
          <w:rFonts w:eastAsia="Times New Roman" w:cs="Arial"/>
          <w:sz w:val="20"/>
          <w:szCs w:val="20"/>
        </w:rPr>
      </w:pPr>
      <w:r w:rsidRPr="007E7412">
        <w:rPr>
          <w:rFonts w:eastAsia="Times New Roman" w:cs="Times New Roman"/>
          <w:sz w:val="20"/>
          <w:szCs w:val="20"/>
        </w:rPr>
        <w:t xml:space="preserve">WDA Fiscal Agents or </w:t>
      </w:r>
      <w:proofErr w:type="spellStart"/>
      <w:r w:rsidRPr="007E7412">
        <w:rPr>
          <w:rFonts w:eastAsia="Times New Roman" w:cs="Times New Roman"/>
          <w:sz w:val="20"/>
          <w:szCs w:val="20"/>
        </w:rPr>
        <w:t>subrecipients</w:t>
      </w:r>
      <w:proofErr w:type="spellEnd"/>
      <w:r w:rsidRPr="007E7412">
        <w:rPr>
          <w:rFonts w:eastAsia="Times New Roman" w:cs="Times New Roman"/>
          <w:sz w:val="20"/>
          <w:szCs w:val="20"/>
        </w:rPr>
        <w:t xml:space="preserve"> generating income under a grant agreement may retain the income earned only if such income is used to support allowable activities under the Workforce Investment Act (WIA) of 1998.</w:t>
      </w:r>
      <w:r w:rsidRPr="007E7412">
        <w:rPr>
          <w:rFonts w:eastAsia="Times New Roman" w:cs="Times New Roman"/>
          <w:sz w:val="20"/>
          <w:szCs w:val="20"/>
        </w:rPr>
        <w:br/>
        <w:t xml:space="preserve">    </w:t>
      </w:r>
    </w:p>
    <w:p w:rsidR="007E7412" w:rsidRPr="007E7412" w:rsidRDefault="007E7412" w:rsidP="007E7412">
      <w:pPr>
        <w:numPr>
          <w:ilvl w:val="1"/>
          <w:numId w:val="1"/>
        </w:numPr>
        <w:spacing w:before="100" w:after="100" w:line="240" w:lineRule="auto"/>
        <w:rPr>
          <w:rFonts w:eastAsia="Times New Roman" w:cs="Arial"/>
          <w:sz w:val="20"/>
          <w:szCs w:val="20"/>
        </w:rPr>
      </w:pPr>
      <w:r w:rsidRPr="007E7412">
        <w:rPr>
          <w:rFonts w:eastAsia="Times New Roman" w:cs="Times New Roman"/>
          <w:sz w:val="20"/>
          <w:szCs w:val="20"/>
        </w:rPr>
        <w:t>Program income shall be used prior to the submission of the final report for the funding period of the program year to which the earnings are attributable.</w:t>
      </w:r>
      <w:r w:rsidRPr="007E7412">
        <w:rPr>
          <w:rFonts w:eastAsia="Times New Roman" w:cs="Times New Roman"/>
          <w:sz w:val="20"/>
          <w:szCs w:val="20"/>
        </w:rPr>
        <w:br/>
        <w:t xml:space="preserve">    </w:t>
      </w:r>
    </w:p>
    <w:p w:rsidR="007E7412" w:rsidRPr="007E7412" w:rsidRDefault="007E7412" w:rsidP="007E7412">
      <w:pPr>
        <w:numPr>
          <w:ilvl w:val="1"/>
          <w:numId w:val="1"/>
        </w:numPr>
        <w:spacing w:before="100" w:after="100" w:line="240" w:lineRule="auto"/>
        <w:rPr>
          <w:rFonts w:eastAsia="Times New Roman" w:cs="Arial"/>
          <w:sz w:val="20"/>
          <w:szCs w:val="20"/>
        </w:rPr>
      </w:pPr>
      <w:r w:rsidRPr="007E7412">
        <w:rPr>
          <w:rFonts w:eastAsia="Times New Roman" w:cs="Times New Roman"/>
          <w:sz w:val="20"/>
          <w:szCs w:val="20"/>
        </w:rPr>
        <w:t>Program income not used in accordance with the requirements of this section is subject to recapture by the Employment Security Department.</w:t>
      </w:r>
      <w:r w:rsidRPr="007E7412">
        <w:rPr>
          <w:rFonts w:eastAsia="Times New Roman" w:cs="Times New Roman"/>
          <w:sz w:val="20"/>
          <w:szCs w:val="20"/>
        </w:rPr>
        <w:br/>
        <w:t xml:space="preserve">    </w:t>
      </w:r>
    </w:p>
    <w:p w:rsidR="007E7412" w:rsidRPr="007E7412" w:rsidRDefault="007E7412" w:rsidP="007E7412">
      <w:pPr>
        <w:numPr>
          <w:ilvl w:val="1"/>
          <w:numId w:val="1"/>
        </w:numPr>
        <w:spacing w:before="100" w:after="100" w:line="240" w:lineRule="auto"/>
        <w:rPr>
          <w:rFonts w:eastAsia="Times New Roman" w:cs="Arial"/>
          <w:sz w:val="20"/>
          <w:szCs w:val="20"/>
        </w:rPr>
      </w:pPr>
      <w:r w:rsidRPr="007E7412">
        <w:rPr>
          <w:rFonts w:eastAsia="Times New Roman" w:cs="Times New Roman"/>
          <w:sz w:val="20"/>
          <w:szCs w:val="20"/>
        </w:rPr>
        <w:t>Program income shall be returned to the Employment Security Department if the income cannot be used by the WDA.</w:t>
      </w:r>
      <w:r w:rsidRPr="007E7412">
        <w:rPr>
          <w:rFonts w:eastAsia="Times New Roman" w:cs="Times New Roman"/>
          <w:sz w:val="20"/>
          <w:szCs w:val="20"/>
        </w:rPr>
        <w:br/>
        <w:t xml:space="preserve">    </w:t>
      </w:r>
    </w:p>
    <w:p w:rsidR="007E7412" w:rsidRPr="007E7412" w:rsidRDefault="007E7412" w:rsidP="007E7412">
      <w:pPr>
        <w:numPr>
          <w:ilvl w:val="1"/>
          <w:numId w:val="1"/>
        </w:numPr>
        <w:spacing w:before="100" w:after="100" w:line="240" w:lineRule="auto"/>
        <w:rPr>
          <w:rFonts w:eastAsia="Times New Roman" w:cs="Arial"/>
          <w:sz w:val="20"/>
          <w:szCs w:val="20"/>
        </w:rPr>
      </w:pPr>
      <w:r w:rsidRPr="007E7412">
        <w:rPr>
          <w:rFonts w:eastAsia="Times New Roman" w:cs="Times New Roman"/>
          <w:sz w:val="20"/>
          <w:szCs w:val="20"/>
        </w:rPr>
        <w:t>Program income and expenditures shall be reported on the WDA Quarterly Fiscal Report and be traceable through the fiscal system.</w:t>
      </w:r>
      <w:r w:rsidRPr="007E7412">
        <w:rPr>
          <w:rFonts w:eastAsia="Times New Roman" w:cs="Times New Roman"/>
          <w:sz w:val="20"/>
          <w:szCs w:val="20"/>
        </w:rPr>
        <w:br/>
        <w:t xml:space="preserve">    </w:t>
      </w:r>
    </w:p>
    <w:p w:rsidR="007E7412" w:rsidRPr="007E7412" w:rsidRDefault="007E7412" w:rsidP="007E7412">
      <w:pPr>
        <w:numPr>
          <w:ilvl w:val="1"/>
          <w:numId w:val="1"/>
        </w:numPr>
        <w:spacing w:before="100" w:after="100" w:line="240" w:lineRule="auto"/>
        <w:rPr>
          <w:rFonts w:eastAsia="Times New Roman" w:cs="Arial"/>
          <w:sz w:val="20"/>
          <w:szCs w:val="20"/>
        </w:rPr>
      </w:pPr>
      <w:r w:rsidRPr="007E7412">
        <w:rPr>
          <w:rFonts w:eastAsia="Times New Roman" w:cs="Times New Roman"/>
          <w:sz w:val="20"/>
          <w:szCs w:val="20"/>
        </w:rPr>
        <w:lastRenderedPageBreak/>
        <w:t xml:space="preserve">The WDA is not accountable for income earned after the end of the award period.  However, the WDA must report program income expended after the grant period if the income was earned during the grant period. </w:t>
      </w:r>
      <w:r w:rsidRPr="007E7412">
        <w:rPr>
          <w:rFonts w:eastAsia="Times New Roman" w:cs="Times New Roman"/>
          <w:sz w:val="20"/>
          <w:szCs w:val="20"/>
        </w:rPr>
        <w:br/>
        <w:t xml:space="preserve">    </w:t>
      </w:r>
    </w:p>
    <w:p w:rsidR="007E7412" w:rsidRPr="007E7412" w:rsidRDefault="007E7412" w:rsidP="007E7412">
      <w:pPr>
        <w:numPr>
          <w:ilvl w:val="1"/>
          <w:numId w:val="1"/>
        </w:numPr>
        <w:spacing w:before="100" w:after="100" w:line="240" w:lineRule="auto"/>
        <w:rPr>
          <w:rFonts w:eastAsia="Times New Roman" w:cs="Arial"/>
          <w:sz w:val="20"/>
          <w:szCs w:val="20"/>
        </w:rPr>
      </w:pPr>
      <w:r w:rsidRPr="007E7412">
        <w:rPr>
          <w:rFonts w:eastAsia="Times New Roman" w:cs="Times New Roman"/>
          <w:sz w:val="20"/>
          <w:szCs w:val="20"/>
        </w:rPr>
        <w:t>WDAs are to track program income expenditures on a first-in first-out basis. Therefore, the first dollar of program income spent by the WDA is to be counted against the first dollar of program income that the WDA earned.</w:t>
      </w:r>
      <w:r w:rsidRPr="007E7412">
        <w:rPr>
          <w:rFonts w:eastAsia="Times New Roman" w:cs="Times New Roman"/>
          <w:sz w:val="20"/>
          <w:szCs w:val="20"/>
        </w:rPr>
        <w:br/>
        <w:t xml:space="preserve">    </w:t>
      </w:r>
    </w:p>
    <w:p w:rsidR="007E7412" w:rsidRPr="007E7412" w:rsidRDefault="007E7412" w:rsidP="007E7412">
      <w:pPr>
        <w:numPr>
          <w:ilvl w:val="1"/>
          <w:numId w:val="1"/>
        </w:numPr>
        <w:spacing w:before="100" w:after="100" w:line="240" w:lineRule="auto"/>
        <w:rPr>
          <w:rFonts w:eastAsia="Times New Roman" w:cs="Arial"/>
          <w:sz w:val="20"/>
          <w:szCs w:val="20"/>
        </w:rPr>
      </w:pPr>
      <w:r w:rsidRPr="007E7412">
        <w:rPr>
          <w:rFonts w:eastAsia="Times New Roman" w:cs="Times New Roman"/>
          <w:sz w:val="20"/>
          <w:szCs w:val="20"/>
        </w:rPr>
        <w:t>Program income may not be spent to cover disallowed costs.</w:t>
      </w:r>
      <w:r w:rsidRPr="007E7412">
        <w:rPr>
          <w:rFonts w:eastAsia="Times New Roman" w:cs="Times New Roman"/>
          <w:sz w:val="20"/>
          <w:szCs w:val="20"/>
        </w:rPr>
        <w:br/>
        <w:t xml:space="preserve">    </w:t>
      </w:r>
    </w:p>
    <w:p w:rsidR="007E7412" w:rsidRPr="007E7412" w:rsidRDefault="007E7412" w:rsidP="007E7412">
      <w:pPr>
        <w:numPr>
          <w:ilvl w:val="1"/>
          <w:numId w:val="1"/>
        </w:numPr>
        <w:spacing w:before="100" w:after="100" w:line="240" w:lineRule="auto"/>
        <w:rPr>
          <w:rFonts w:eastAsia="Times New Roman" w:cs="Arial"/>
          <w:sz w:val="20"/>
          <w:szCs w:val="20"/>
        </w:rPr>
      </w:pPr>
      <w:r w:rsidRPr="007E7412">
        <w:rPr>
          <w:rFonts w:eastAsia="Times New Roman" w:cs="Times New Roman"/>
          <w:sz w:val="20"/>
          <w:szCs w:val="20"/>
        </w:rPr>
        <w:t>Any equipment purchased with program income is subject to the requirements set forth in the policies covering property management and inventory.</w:t>
      </w:r>
      <w:r w:rsidRPr="007E7412">
        <w:rPr>
          <w:rFonts w:eastAsia="Times New Roman" w:cs="Times New Roman"/>
          <w:sz w:val="20"/>
          <w:szCs w:val="20"/>
        </w:rPr>
        <w:br/>
        <w:t xml:space="preserve">    </w:t>
      </w:r>
    </w:p>
    <w:p w:rsidR="007E7412" w:rsidRPr="007E7412" w:rsidRDefault="007E7412" w:rsidP="007E7412">
      <w:pPr>
        <w:numPr>
          <w:ilvl w:val="1"/>
          <w:numId w:val="1"/>
        </w:numPr>
        <w:spacing w:before="100" w:after="100" w:line="240" w:lineRule="auto"/>
        <w:rPr>
          <w:rFonts w:eastAsia="Times New Roman" w:cs="Arial"/>
          <w:sz w:val="20"/>
          <w:szCs w:val="20"/>
        </w:rPr>
      </w:pPr>
      <w:r w:rsidRPr="007E7412">
        <w:rPr>
          <w:rFonts w:eastAsia="Times New Roman" w:cs="Times New Roman"/>
          <w:sz w:val="20"/>
          <w:szCs w:val="20"/>
        </w:rPr>
        <w:t>If earned income cannot be used for WIA purposes by the WDA earning the income, the WDA may permit another entity to use the income for WIA purposes.</w:t>
      </w:r>
      <w:r w:rsidRPr="007E7412">
        <w:rPr>
          <w:rFonts w:eastAsia="Times New Roman" w:cs="Times New Roman"/>
          <w:sz w:val="20"/>
          <w:szCs w:val="20"/>
        </w:rPr>
        <w:br/>
        <w:t xml:space="preserve">    </w:t>
      </w:r>
    </w:p>
    <w:p w:rsidR="007E7412" w:rsidRPr="007E7412" w:rsidRDefault="007E7412" w:rsidP="007E7412">
      <w:pPr>
        <w:numPr>
          <w:ilvl w:val="0"/>
          <w:numId w:val="1"/>
        </w:numPr>
        <w:spacing w:before="100" w:after="100" w:line="240" w:lineRule="auto"/>
        <w:rPr>
          <w:rFonts w:eastAsia="Times New Roman" w:cs="Arial"/>
          <w:sz w:val="20"/>
          <w:szCs w:val="20"/>
        </w:rPr>
      </w:pPr>
      <w:r w:rsidRPr="007E7412">
        <w:rPr>
          <w:rFonts w:eastAsia="Times New Roman" w:cs="Times New Roman"/>
          <w:sz w:val="20"/>
          <w:szCs w:val="20"/>
        </w:rPr>
        <w:t xml:space="preserve">Program Income Requirements for State </w:t>
      </w:r>
      <w:proofErr w:type="spellStart"/>
      <w:r w:rsidRPr="007E7412">
        <w:rPr>
          <w:rFonts w:eastAsia="Times New Roman" w:cs="Times New Roman"/>
          <w:sz w:val="20"/>
          <w:szCs w:val="20"/>
        </w:rPr>
        <w:t>Subrecipients</w:t>
      </w:r>
      <w:proofErr w:type="spellEnd"/>
      <w:r w:rsidRPr="007E7412">
        <w:rPr>
          <w:rFonts w:eastAsia="Times New Roman" w:cs="Times New Roman"/>
          <w:sz w:val="20"/>
          <w:szCs w:val="20"/>
        </w:rPr>
        <w:t>:</w:t>
      </w:r>
      <w:r w:rsidRPr="007E7412">
        <w:rPr>
          <w:rFonts w:eastAsia="Times New Roman" w:cs="Times New Roman"/>
          <w:sz w:val="20"/>
          <w:szCs w:val="20"/>
        </w:rPr>
        <w:br/>
        <w:t xml:space="preserve">    </w:t>
      </w:r>
    </w:p>
    <w:p w:rsidR="007E7412" w:rsidRPr="007E7412" w:rsidRDefault="007E7412" w:rsidP="007E7412">
      <w:pPr>
        <w:numPr>
          <w:ilvl w:val="1"/>
          <w:numId w:val="2"/>
        </w:numPr>
        <w:spacing w:before="100" w:after="100" w:line="240" w:lineRule="auto"/>
        <w:rPr>
          <w:rFonts w:eastAsia="Times New Roman" w:cs="Arial"/>
          <w:sz w:val="20"/>
          <w:szCs w:val="20"/>
        </w:rPr>
      </w:pPr>
      <w:r w:rsidRPr="007E7412">
        <w:rPr>
          <w:rFonts w:eastAsia="Times New Roman" w:cs="Times New Roman"/>
          <w:sz w:val="20"/>
          <w:szCs w:val="20"/>
        </w:rPr>
        <w:t xml:space="preserve">Receipt and disbursement of program income shall be reported on the WIA Quarterly Fiscal Report forms.  Expenditure of such program income must meet the requirements set forth in WIA Policy No. 3205 Revision #1 (Cash Management). </w:t>
      </w:r>
      <w:r w:rsidRPr="007E7412">
        <w:rPr>
          <w:rFonts w:eastAsia="Times New Roman" w:cs="Times New Roman"/>
          <w:sz w:val="20"/>
          <w:szCs w:val="20"/>
        </w:rPr>
        <w:br/>
        <w:t xml:space="preserve">    </w:t>
      </w:r>
    </w:p>
    <w:p w:rsidR="007E7412" w:rsidRPr="007E7412" w:rsidRDefault="007E7412" w:rsidP="007E7412">
      <w:pPr>
        <w:numPr>
          <w:ilvl w:val="1"/>
          <w:numId w:val="2"/>
        </w:numPr>
        <w:spacing w:before="100" w:after="100" w:line="240" w:lineRule="auto"/>
        <w:rPr>
          <w:rFonts w:eastAsia="Times New Roman" w:cs="Arial"/>
          <w:sz w:val="20"/>
          <w:szCs w:val="20"/>
        </w:rPr>
      </w:pPr>
      <w:r w:rsidRPr="007E7412">
        <w:rPr>
          <w:rFonts w:eastAsia="Times New Roman" w:cs="Times New Roman"/>
          <w:sz w:val="20"/>
          <w:szCs w:val="20"/>
        </w:rPr>
        <w:t xml:space="preserve">Program income must be traceable through the entity’s financial system.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ascii="Times New Roman" w:eastAsia="Times New Roman" w:hAnsi="Times New Roman" w:cs="Times New Roman"/>
          <w:szCs w:val="24"/>
        </w:rPr>
        <w:t> </w:t>
      </w:r>
    </w:p>
    <w:p w:rsidR="007E7412" w:rsidRPr="007E7412" w:rsidRDefault="007E7412" w:rsidP="007E7412">
      <w:pPr>
        <w:spacing w:before="100" w:after="100" w:line="240" w:lineRule="auto"/>
        <w:rPr>
          <w:rFonts w:ascii="Times New Roman" w:eastAsia="Times New Roman" w:hAnsi="Times New Roman" w:cs="Times New Roman"/>
          <w:szCs w:val="24"/>
        </w:rPr>
      </w:pPr>
      <w:bookmarkStart w:id="3" w:name="DEFINITIONS"/>
      <w:r w:rsidRPr="007E7412">
        <w:rPr>
          <w:rFonts w:eastAsia="Times New Roman" w:cs="Times New Roman"/>
          <w:b/>
          <w:sz w:val="20"/>
          <w:szCs w:val="20"/>
        </w:rPr>
        <w:t>DEFINITIONS</w:t>
      </w:r>
      <w:bookmarkEnd w:id="3"/>
      <w:r w:rsidRPr="007E7412">
        <w:rPr>
          <w:rFonts w:eastAsia="Times New Roman" w:cs="Times New Roman"/>
          <w:b/>
          <w:sz w:val="20"/>
          <w:szCs w:val="20"/>
        </w:rPr>
        <w:t xml:space="preserve">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None.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ascii="Times New Roman" w:eastAsia="Times New Roman" w:hAnsi="Times New Roman" w:cs="Times New Roman"/>
          <w:szCs w:val="24"/>
        </w:rPr>
        <w:t> </w:t>
      </w:r>
    </w:p>
    <w:p w:rsidR="007E7412" w:rsidRPr="007E7412" w:rsidRDefault="007E7412" w:rsidP="007E7412">
      <w:pPr>
        <w:spacing w:before="100" w:after="100" w:line="240" w:lineRule="auto"/>
        <w:rPr>
          <w:rFonts w:ascii="Times New Roman" w:eastAsia="Times New Roman" w:hAnsi="Times New Roman" w:cs="Times New Roman"/>
          <w:szCs w:val="24"/>
        </w:rPr>
      </w:pPr>
      <w:bookmarkStart w:id="4" w:name="REFERENCES"/>
      <w:r w:rsidRPr="007E7412">
        <w:rPr>
          <w:rFonts w:eastAsia="Times New Roman" w:cs="Times New Roman"/>
          <w:b/>
          <w:sz w:val="20"/>
          <w:szCs w:val="20"/>
        </w:rPr>
        <w:t>REFERENCES</w:t>
      </w:r>
      <w:bookmarkEnd w:id="4"/>
      <w:r w:rsidRPr="007E7412">
        <w:rPr>
          <w:rFonts w:eastAsia="Times New Roman" w:cs="Times New Roman"/>
          <w:b/>
          <w:sz w:val="20"/>
          <w:szCs w:val="20"/>
        </w:rPr>
        <w:t xml:space="preserve">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All fiscal policies and guidance letters published for WIA are governed, as appropriate, under: </w:t>
      </w:r>
    </w:p>
    <w:p w:rsidR="007E7412" w:rsidRPr="007E7412" w:rsidRDefault="007E7412" w:rsidP="007E7412">
      <w:pPr>
        <w:numPr>
          <w:ilvl w:val="0"/>
          <w:numId w:val="3"/>
        </w:num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Public Law 105-200 </w:t>
      </w:r>
    </w:p>
    <w:p w:rsidR="007E7412" w:rsidRPr="007E7412" w:rsidRDefault="007E7412" w:rsidP="007E7412">
      <w:pPr>
        <w:numPr>
          <w:ilvl w:val="0"/>
          <w:numId w:val="3"/>
        </w:num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20 CFR Part 652 </w:t>
      </w:r>
    </w:p>
    <w:p w:rsidR="007E7412" w:rsidRPr="007E7412" w:rsidRDefault="007E7412" w:rsidP="007E7412">
      <w:pPr>
        <w:numPr>
          <w:ilvl w:val="0"/>
          <w:numId w:val="3"/>
        </w:num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OMB Circular A-122, Cost Principles for Non Profits </w:t>
      </w:r>
    </w:p>
    <w:p w:rsidR="007E7412" w:rsidRPr="007E7412" w:rsidRDefault="007E7412" w:rsidP="007E7412">
      <w:pPr>
        <w:numPr>
          <w:ilvl w:val="0"/>
          <w:numId w:val="3"/>
        </w:num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OMB Circular A-133, Audit of State and Local Government </w:t>
      </w:r>
    </w:p>
    <w:p w:rsidR="007E7412" w:rsidRPr="007E7412" w:rsidRDefault="007E7412" w:rsidP="007E7412">
      <w:pPr>
        <w:numPr>
          <w:ilvl w:val="0"/>
          <w:numId w:val="3"/>
        </w:num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OMB Circular A-133, Compliance Supplement </w:t>
      </w:r>
    </w:p>
    <w:p w:rsidR="007E7412" w:rsidRPr="007E7412" w:rsidRDefault="007E7412" w:rsidP="007E7412">
      <w:pPr>
        <w:numPr>
          <w:ilvl w:val="0"/>
          <w:numId w:val="3"/>
        </w:num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OMB Circular A-21, Cost Principles for Education Institutions </w:t>
      </w:r>
    </w:p>
    <w:p w:rsidR="007E7412" w:rsidRPr="007E7412" w:rsidRDefault="007E7412" w:rsidP="007E7412">
      <w:pPr>
        <w:numPr>
          <w:ilvl w:val="0"/>
          <w:numId w:val="3"/>
        </w:num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OMB Circular A- 87, Revised Cost Principles for State and Local Government and Indian Tribal Government </w:t>
      </w:r>
    </w:p>
    <w:p w:rsidR="007E7412" w:rsidRPr="007E7412" w:rsidRDefault="007E7412" w:rsidP="007E7412">
      <w:pPr>
        <w:numPr>
          <w:ilvl w:val="0"/>
          <w:numId w:val="3"/>
        </w:num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One-Stop Comprehensive Financial Management Technical Assistance Guide (TAG) - July 2002 </w:t>
      </w:r>
    </w:p>
    <w:p w:rsidR="007E7412" w:rsidRPr="007E7412" w:rsidRDefault="007E7412" w:rsidP="007E7412">
      <w:pPr>
        <w:numPr>
          <w:ilvl w:val="0"/>
          <w:numId w:val="3"/>
        </w:num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Generally Accepted Accounting Procedures (GAAP)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ascii="Times New Roman" w:eastAsia="Times New Roman" w:hAnsi="Times New Roman" w:cs="Times New Roman"/>
          <w:szCs w:val="24"/>
        </w:rPr>
        <w:t> </w:t>
      </w:r>
    </w:p>
    <w:p w:rsidR="007E7412" w:rsidRPr="007E7412" w:rsidRDefault="007E7412" w:rsidP="007E7412">
      <w:pPr>
        <w:spacing w:before="100" w:after="100" w:line="240" w:lineRule="auto"/>
        <w:rPr>
          <w:rFonts w:ascii="Times New Roman" w:eastAsia="Times New Roman" w:hAnsi="Times New Roman" w:cs="Times New Roman"/>
          <w:szCs w:val="24"/>
        </w:rPr>
      </w:pPr>
      <w:bookmarkStart w:id="5" w:name="SUPERSEDES"/>
      <w:r w:rsidRPr="007E7412">
        <w:rPr>
          <w:rFonts w:eastAsia="Times New Roman" w:cs="Times New Roman"/>
          <w:b/>
          <w:sz w:val="20"/>
          <w:szCs w:val="20"/>
        </w:rPr>
        <w:t>SUPERSEDES</w:t>
      </w:r>
      <w:bookmarkEnd w:id="5"/>
      <w:r w:rsidRPr="007E7412">
        <w:rPr>
          <w:rFonts w:eastAsia="Times New Roman" w:cs="Times New Roman"/>
          <w:b/>
          <w:sz w:val="20"/>
          <w:szCs w:val="20"/>
        </w:rPr>
        <w:t xml:space="preserve">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eastAsia="Times New Roman" w:cs="Times New Roman"/>
          <w:sz w:val="20"/>
          <w:szCs w:val="20"/>
        </w:rPr>
        <w:t xml:space="preserve">Policy #3220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ascii="Times New Roman" w:eastAsia="Times New Roman" w:hAnsi="Times New Roman" w:cs="Times New Roman"/>
          <w:szCs w:val="24"/>
        </w:rPr>
        <w:t> </w:t>
      </w:r>
    </w:p>
    <w:p w:rsidR="007E7412" w:rsidRPr="007E7412" w:rsidRDefault="007E7412" w:rsidP="007E7412">
      <w:pPr>
        <w:spacing w:before="100" w:after="100" w:line="240" w:lineRule="auto"/>
        <w:rPr>
          <w:rFonts w:ascii="Times New Roman" w:eastAsia="Times New Roman" w:hAnsi="Times New Roman" w:cs="Times New Roman"/>
          <w:szCs w:val="24"/>
        </w:rPr>
      </w:pPr>
      <w:bookmarkStart w:id="6" w:name="WEBSITE"/>
      <w:r w:rsidRPr="007E7412">
        <w:rPr>
          <w:rFonts w:eastAsia="Times New Roman" w:cs="Times New Roman"/>
          <w:b/>
          <w:sz w:val="20"/>
          <w:szCs w:val="20"/>
        </w:rPr>
        <w:lastRenderedPageBreak/>
        <w:t>WEBSITE</w:t>
      </w:r>
      <w:bookmarkEnd w:id="6"/>
      <w:r w:rsidRPr="007E7412">
        <w:rPr>
          <w:rFonts w:eastAsia="Times New Roman" w:cs="Times New Roman"/>
          <w:b/>
          <w:sz w:val="20"/>
          <w:szCs w:val="20"/>
        </w:rPr>
        <w:t xml:space="preserve"> </w:t>
      </w:r>
    </w:p>
    <w:p w:rsidR="007E7412" w:rsidRPr="007E7412" w:rsidRDefault="007E7412" w:rsidP="007E7412">
      <w:pPr>
        <w:spacing w:before="100" w:after="100" w:line="240" w:lineRule="auto"/>
        <w:rPr>
          <w:rFonts w:ascii="Times New Roman" w:eastAsia="Times New Roman" w:hAnsi="Times New Roman" w:cs="Times New Roman"/>
          <w:szCs w:val="24"/>
        </w:rPr>
      </w:pPr>
      <w:hyperlink r:id="rId12" w:history="1">
        <w:r w:rsidRPr="007E7412">
          <w:rPr>
            <w:rFonts w:eastAsia="Times New Roman" w:cs="Times New Roman"/>
            <w:color w:val="0000FF"/>
            <w:sz w:val="20"/>
            <w:szCs w:val="20"/>
            <w:u w:val="single"/>
          </w:rPr>
          <w:t>http://www.wa.gov/esd/policies/title1b.htm</w:t>
        </w:r>
      </w:hyperlink>
      <w:r w:rsidRPr="007E7412">
        <w:rPr>
          <w:rFonts w:eastAsia="Times New Roman" w:cs="Times New Roman"/>
          <w:sz w:val="20"/>
          <w:szCs w:val="20"/>
        </w:rPr>
        <w:t xml:space="preserve">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ascii="Times New Roman" w:eastAsia="Times New Roman" w:hAnsi="Times New Roman" w:cs="Times New Roman"/>
          <w:szCs w:val="24"/>
        </w:rPr>
        <w:t> </w:t>
      </w:r>
    </w:p>
    <w:p w:rsidR="007E7412" w:rsidRPr="007E7412" w:rsidRDefault="007E7412" w:rsidP="007E7412">
      <w:pPr>
        <w:spacing w:before="100" w:after="100" w:line="240" w:lineRule="auto"/>
        <w:rPr>
          <w:rFonts w:ascii="Times New Roman" w:eastAsia="Times New Roman" w:hAnsi="Times New Roman" w:cs="Times New Roman"/>
          <w:szCs w:val="24"/>
        </w:rPr>
      </w:pPr>
      <w:r w:rsidRPr="007E7412">
        <w:rPr>
          <w:rFonts w:eastAsia="Times New Roman" w:cs="Times New Roman"/>
          <w:b/>
          <w:sz w:val="20"/>
          <w:szCs w:val="20"/>
        </w:rPr>
        <w:t xml:space="preserve">DIRECT </w:t>
      </w:r>
      <w:bookmarkStart w:id="7" w:name="INQUIRIES"/>
      <w:r w:rsidRPr="007E7412">
        <w:rPr>
          <w:rFonts w:eastAsia="Times New Roman" w:cs="Times New Roman"/>
          <w:b/>
          <w:sz w:val="20"/>
          <w:szCs w:val="20"/>
        </w:rPr>
        <w:t xml:space="preserve">INQUIRIES </w:t>
      </w:r>
      <w:bookmarkEnd w:id="7"/>
      <w:r w:rsidRPr="007E7412">
        <w:rPr>
          <w:rFonts w:eastAsia="Times New Roman" w:cs="Times New Roman"/>
          <w:b/>
          <w:sz w:val="20"/>
          <w:szCs w:val="20"/>
        </w:rPr>
        <w:t xml:space="preserve">TO </w:t>
      </w:r>
    </w:p>
    <w:p w:rsidR="00F65F93" w:rsidRDefault="007E7412" w:rsidP="007E7412">
      <w:r w:rsidRPr="007E7412">
        <w:rPr>
          <w:rFonts w:eastAsia="Times New Roman" w:cs="Times New Roman"/>
          <w:sz w:val="20"/>
          <w:szCs w:val="20"/>
        </w:rPr>
        <w:t xml:space="preserve">Kim </w:t>
      </w:r>
      <w:proofErr w:type="gramStart"/>
      <w:r w:rsidRPr="007E7412">
        <w:rPr>
          <w:rFonts w:eastAsia="Times New Roman" w:cs="Times New Roman"/>
          <w:sz w:val="20"/>
          <w:szCs w:val="20"/>
        </w:rPr>
        <w:t>Anensen</w:t>
      </w:r>
      <w:r w:rsidRPr="007E7412">
        <w:rPr>
          <w:rFonts w:eastAsia="Times New Roman" w:cs="Arial"/>
          <w:sz w:val="20"/>
          <w:szCs w:val="20"/>
        </w:rPr>
        <w:t xml:space="preserve"> </w:t>
      </w:r>
      <w:r w:rsidRPr="007E7412">
        <w:rPr>
          <w:rFonts w:eastAsia="Times New Roman" w:cs="Times New Roman"/>
          <w:sz w:val="20"/>
          <w:szCs w:val="20"/>
        </w:rPr>
        <w:t>,</w:t>
      </w:r>
      <w:proofErr w:type="gramEnd"/>
      <w:r w:rsidRPr="007E7412">
        <w:rPr>
          <w:rFonts w:eastAsia="Times New Roman" w:cs="Times New Roman"/>
          <w:sz w:val="20"/>
          <w:szCs w:val="20"/>
        </w:rPr>
        <w:t xml:space="preserve"> Manager</w:t>
      </w:r>
      <w:r w:rsidRPr="007E7412">
        <w:rPr>
          <w:rFonts w:eastAsia="Times New Roman" w:cs="Times New Roman"/>
          <w:sz w:val="20"/>
          <w:szCs w:val="20"/>
        </w:rPr>
        <w:br/>
        <w:t>Employment Security Department</w:t>
      </w:r>
      <w:r w:rsidRPr="007E7412">
        <w:rPr>
          <w:rFonts w:eastAsia="Times New Roman" w:cs="Times New Roman"/>
          <w:sz w:val="20"/>
          <w:szCs w:val="20"/>
        </w:rPr>
        <w:br/>
        <w:t>P.O. Box 9046 , MS 6000</w:t>
      </w:r>
      <w:r w:rsidRPr="007E7412">
        <w:rPr>
          <w:rFonts w:eastAsia="Times New Roman" w:cs="Times New Roman"/>
          <w:sz w:val="20"/>
          <w:szCs w:val="20"/>
        </w:rPr>
        <w:br/>
        <w:t xml:space="preserve">Olympia , WA 98507-9046 </w:t>
      </w:r>
      <w:r w:rsidRPr="007E7412">
        <w:rPr>
          <w:rFonts w:eastAsia="Times New Roman" w:cs="Times New Roman"/>
          <w:sz w:val="20"/>
          <w:szCs w:val="20"/>
        </w:rPr>
        <w:br/>
        <w:t xml:space="preserve">E-Mail: </w:t>
      </w:r>
      <w:hyperlink r:id="rId13" w:history="1">
        <w:r w:rsidRPr="007E7412">
          <w:rPr>
            <w:rFonts w:eastAsia="Times New Roman" w:cs="Times New Roman"/>
            <w:color w:val="0000FF"/>
            <w:sz w:val="20"/>
            <w:szCs w:val="20"/>
            <w:u w:val="single"/>
          </w:rPr>
          <w:t>kanensen@esd.wa.gov</w:t>
        </w:r>
      </w:hyperlink>
      <w:r w:rsidRPr="007E7412">
        <w:rPr>
          <w:rFonts w:eastAsia="Times New Roman" w:cs="Times New Roman"/>
          <w:sz w:val="20"/>
          <w:szCs w:val="20"/>
        </w:rPr>
        <w:br/>
        <w:t>Telephone: (360) 902-9525</w:t>
      </w:r>
      <w:r w:rsidRPr="007E7412">
        <w:rPr>
          <w:rFonts w:eastAsia="Times New Roman" w:cs="Times New Roman"/>
          <w:sz w:val="20"/>
          <w:szCs w:val="20"/>
        </w:rPr>
        <w:br/>
        <w:t>FAX: (360) 902-9520</w:t>
      </w:r>
      <w:bookmarkStart w:id="8" w:name="_GoBack"/>
      <w:bookmarkEnd w:id="8"/>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7FCB"/>
    <w:multiLevelType w:val="multilevel"/>
    <w:tmpl w:val="CCB4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4811EB"/>
    <w:multiLevelType w:val="multilevel"/>
    <w:tmpl w:val="14ECF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12"/>
    <w:rsid w:val="007E7412"/>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A5ED9-1D7B-47EC-AD69-CCC72846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7E7412"/>
    <w:rPr>
      <w:color w:val="0000FF"/>
      <w:u w:val="single"/>
    </w:rPr>
  </w:style>
  <w:style w:type="paragraph" w:styleId="NormalWeb">
    <w:name w:val="Normal (Web)"/>
    <w:basedOn w:val="Normal"/>
    <w:uiPriority w:val="99"/>
    <w:semiHidden/>
    <w:unhideWhenUsed/>
    <w:rsid w:val="007E741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220rev1.htm" TargetMode="External"/><Relationship Id="rId13" Type="http://schemas.openxmlformats.org/officeDocument/2006/relationships/hyperlink" Target="mailto:kanensen@esd.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a.gov/esd/1stop/policies/documents/archive/3220rev1.htm" TargetMode="External"/><Relationship Id="rId12" Type="http://schemas.openxmlformats.org/officeDocument/2006/relationships/hyperlink" Target="http://www.wa.gov/esd/policies/title1b.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wa.gov/esd/1stop/policies/documents/archive/3220rev1.htm" TargetMode="External"/><Relationship Id="rId11" Type="http://schemas.openxmlformats.org/officeDocument/2006/relationships/hyperlink" Target="http://www.wa.gov/esd/1stop/policies/documents/archive/3220rev1.htm" TargetMode="External"/><Relationship Id="rId5" Type="http://schemas.openxmlformats.org/officeDocument/2006/relationships/hyperlink" Target="http://www.wa.gov/esd/1stop/policies/documents/archive/3220rev1.htm" TargetMode="External"/><Relationship Id="rId15" Type="http://schemas.openxmlformats.org/officeDocument/2006/relationships/theme" Target="theme/theme1.xml"/><Relationship Id="rId10" Type="http://schemas.openxmlformats.org/officeDocument/2006/relationships/hyperlink" Target="http://www.wa.gov/esd/1stop/policies/documents/archive/3220rev1.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220rev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F2952-C443-4258-A11B-04535CF1D21B}"/>
</file>

<file path=customXml/itemProps2.xml><?xml version="1.0" encoding="utf-8"?>
<ds:datastoreItem xmlns:ds="http://schemas.openxmlformats.org/officeDocument/2006/customXml" ds:itemID="{6C11FD00-690E-430C-B34A-534E980035EF}"/>
</file>

<file path=customXml/itemProps3.xml><?xml version="1.0" encoding="utf-8"?>
<ds:datastoreItem xmlns:ds="http://schemas.openxmlformats.org/officeDocument/2006/customXml" ds:itemID="{7DF6C2BB-08DF-4219-A57B-C910E02DD4E9}"/>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2017-05-18T23:00:00Z</dcterms:created>
  <dcterms:modified xsi:type="dcterms:W3CDTF">2017-05-18T23:00:00Z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