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DC89" w14:textId="77777777" w:rsidR="00F23F09" w:rsidRDefault="00F23F09"/>
    <w:tbl>
      <w:tblPr>
        <w:tblStyle w:val="TableGrid"/>
        <w:tblW w:w="15030" w:type="dxa"/>
        <w:tblInd w:w="-15" w:type="dxa"/>
        <w:tblLayout w:type="fixed"/>
        <w:tblLook w:val="04A0" w:firstRow="1" w:lastRow="0" w:firstColumn="1" w:lastColumn="0" w:noHBand="0" w:noVBand="1"/>
      </w:tblPr>
      <w:tblGrid>
        <w:gridCol w:w="15030"/>
      </w:tblGrid>
      <w:tr w:rsidR="002B1266" w:rsidRPr="0095593C" w14:paraId="78C9C18A" w14:textId="77777777" w:rsidTr="001C569C">
        <w:trPr>
          <w:trHeight w:val="456"/>
        </w:trPr>
        <w:tc>
          <w:tcPr>
            <w:tcW w:w="15030" w:type="dxa"/>
            <w:tcBorders>
              <w:top w:val="single" w:sz="12" w:space="0" w:color="auto"/>
              <w:left w:val="single" w:sz="12" w:space="0" w:color="auto"/>
              <w:bottom w:val="single" w:sz="12" w:space="0" w:color="auto"/>
              <w:right w:val="single" w:sz="12" w:space="0" w:color="auto"/>
            </w:tcBorders>
            <w:shd w:val="clear" w:color="auto" w:fill="AEA0CA"/>
          </w:tcPr>
          <w:p w14:paraId="17E8DA14" w14:textId="4D578735" w:rsidR="007C7828" w:rsidRDefault="00A408A9" w:rsidP="007C7828">
            <w:pPr>
              <w:tabs>
                <w:tab w:val="left" w:pos="1570"/>
              </w:tabs>
              <w:rPr>
                <w:rFonts w:asciiTheme="majorHAnsi" w:hAnsiTheme="majorHAnsi" w:cs="Arial"/>
                <w:b/>
              </w:rPr>
            </w:pPr>
            <w:r>
              <w:rPr>
                <w:rFonts w:asciiTheme="majorHAnsi" w:hAnsiTheme="majorHAnsi" w:cs="Arial"/>
                <w:b/>
              </w:rPr>
              <w:t xml:space="preserve">Federal Regulations (CFR’s, WIOA Regulations, </w:t>
            </w:r>
            <w:r w:rsidR="001E1F64">
              <w:rPr>
                <w:rFonts w:asciiTheme="majorHAnsi" w:hAnsiTheme="majorHAnsi" w:cs="Arial"/>
                <w:b/>
              </w:rPr>
              <w:t xml:space="preserve">Wagner-Peyser)  </w:t>
            </w:r>
          </w:p>
          <w:p w14:paraId="6A1D155F" w14:textId="39D3F1F5" w:rsidR="00DA6D31" w:rsidRPr="002B1266" w:rsidRDefault="00DA6D31" w:rsidP="000B2AEB"/>
        </w:tc>
      </w:tr>
      <w:tr w:rsidR="00F44DE0" w:rsidRPr="0095593C" w14:paraId="20DE80AD" w14:textId="77777777" w:rsidTr="001C569C">
        <w:trPr>
          <w:trHeight w:val="456"/>
        </w:trPr>
        <w:tc>
          <w:tcPr>
            <w:tcW w:w="15030" w:type="dxa"/>
            <w:tcBorders>
              <w:top w:val="single" w:sz="12" w:space="0" w:color="auto"/>
              <w:left w:val="single" w:sz="12" w:space="0" w:color="auto"/>
              <w:bottom w:val="single" w:sz="12" w:space="0" w:color="auto"/>
              <w:right w:val="single" w:sz="12" w:space="0" w:color="auto"/>
            </w:tcBorders>
            <w:shd w:val="clear" w:color="auto" w:fill="auto"/>
          </w:tcPr>
          <w:p w14:paraId="58086F75" w14:textId="2D593013" w:rsidR="005641C6" w:rsidRPr="00131224" w:rsidRDefault="00A529DF" w:rsidP="00131224">
            <w:pPr>
              <w:contextualSpacing/>
              <w:rPr>
                <w:rStyle w:val="Hyperlink"/>
                <w:rFonts w:asciiTheme="majorHAnsi" w:hAnsiTheme="majorHAnsi" w:cstheme="majorHAnsi"/>
                <w:b/>
                <w:bCs/>
                <w:sz w:val="24"/>
                <w:szCs w:val="24"/>
                <w:u w:val="single"/>
              </w:rPr>
            </w:pPr>
            <w:hyperlink r:id="rId8" w:history="1">
              <w:r w:rsidR="00B25BB4">
                <w:rPr>
                  <w:rStyle w:val="Hyperlink"/>
                  <w:rFonts w:asciiTheme="majorHAnsi" w:hAnsiTheme="majorHAnsi" w:cstheme="majorHAnsi"/>
                  <w:b/>
                  <w:bCs/>
                  <w:sz w:val="24"/>
                  <w:szCs w:val="24"/>
                  <w:u w:val="single"/>
                </w:rPr>
                <w:t>20 CFR 683.410</w:t>
              </w:r>
            </w:hyperlink>
          </w:p>
          <w:p w14:paraId="4EB3E98D" w14:textId="064E2022" w:rsidR="005641C6" w:rsidRPr="005641C6" w:rsidRDefault="005641C6" w:rsidP="00131224">
            <w:pPr>
              <w:contextualSpacing/>
              <w:rPr>
                <w:rFonts w:cstheme="minorHAnsi"/>
                <w:b/>
                <w:bCs/>
                <w:sz w:val="24"/>
                <w:szCs w:val="24"/>
              </w:rPr>
            </w:pPr>
            <w:r w:rsidRPr="005641C6">
              <w:rPr>
                <w:rStyle w:val="Hyperlink"/>
                <w:rFonts w:cstheme="minorHAnsi"/>
                <w:b/>
                <w:bCs/>
                <w:color w:val="auto"/>
                <w:sz w:val="24"/>
                <w:szCs w:val="24"/>
              </w:rPr>
              <w:t>Oversight Roles and Responsibilities of Recipients and Sub Recipients awarded under Title I of WIOA and the Wagner-Peyser Act</w:t>
            </w:r>
          </w:p>
          <w:p w14:paraId="6D8D93E2" w14:textId="77777777" w:rsidR="003B3075" w:rsidRPr="005641C6" w:rsidRDefault="003B3075" w:rsidP="00B25BB4">
            <w:pPr>
              <w:contextualSpacing/>
              <w:rPr>
                <w:rFonts w:cstheme="minorHAnsi"/>
              </w:rPr>
            </w:pPr>
            <w:r w:rsidRPr="005641C6">
              <w:rPr>
                <w:rStyle w:val="enumxml"/>
                <w:rFonts w:ascii="Calibri Light" w:hAnsi="Calibri Light" w:cs="Calibri Light"/>
              </w:rPr>
              <w:t>(a)</w:t>
            </w:r>
            <w:r w:rsidRPr="005641C6">
              <w:rPr>
                <w:rFonts w:ascii="Calibri Light" w:hAnsi="Calibri Light" w:cs="Calibri Light"/>
              </w:rPr>
              <w:t> </w:t>
            </w:r>
            <w:r w:rsidRPr="005641C6">
              <w:rPr>
                <w:rFonts w:cstheme="minorHAnsi"/>
              </w:rPr>
              <w:t>Each </w:t>
            </w:r>
            <w:hyperlink r:id="rId9" w:history="1">
              <w:r w:rsidRPr="005641C6">
                <w:rPr>
                  <w:rStyle w:val="Hyperlink"/>
                  <w:rFonts w:cstheme="minorHAnsi"/>
                  <w:color w:val="auto"/>
                </w:rPr>
                <w:t>recipient</w:t>
              </w:r>
            </w:hyperlink>
            <w:r w:rsidRPr="005641C6">
              <w:rPr>
                <w:rFonts w:cstheme="minorHAnsi"/>
              </w:rPr>
              <w:t> and </w:t>
            </w:r>
            <w:hyperlink r:id="rId10" w:history="1">
              <w:r w:rsidRPr="005641C6">
                <w:rPr>
                  <w:rStyle w:val="Hyperlink"/>
                  <w:rFonts w:cstheme="minorHAnsi"/>
                  <w:color w:val="auto"/>
                </w:rPr>
                <w:t>subrecipient</w:t>
              </w:r>
            </w:hyperlink>
            <w:r w:rsidRPr="005641C6">
              <w:rPr>
                <w:rFonts w:cstheme="minorHAnsi"/>
              </w:rPr>
              <w:t> of funds under title I of </w:t>
            </w:r>
            <w:hyperlink r:id="rId11" w:history="1">
              <w:r w:rsidRPr="005641C6">
                <w:rPr>
                  <w:rStyle w:val="Hyperlink"/>
                  <w:rFonts w:cstheme="minorHAnsi"/>
                  <w:color w:val="auto"/>
                </w:rPr>
                <w:t>WIOA</w:t>
              </w:r>
            </w:hyperlink>
            <w:r w:rsidRPr="005641C6">
              <w:rPr>
                <w:rFonts w:cstheme="minorHAnsi"/>
              </w:rPr>
              <w:t> and under the </w:t>
            </w:r>
            <w:hyperlink r:id="rId12" w:history="1">
              <w:r w:rsidRPr="005641C6">
                <w:rPr>
                  <w:rStyle w:val="Hyperlink"/>
                  <w:rFonts w:cstheme="minorHAnsi"/>
                  <w:color w:val="auto"/>
                </w:rPr>
                <w:t>Wagner-Peyser Act</w:t>
              </w:r>
            </w:hyperlink>
            <w:r w:rsidRPr="005641C6">
              <w:rPr>
                <w:rFonts w:cstheme="minorHAnsi"/>
              </w:rPr>
              <w:t> must conduct regular oversight and monitoring of its </w:t>
            </w:r>
            <w:hyperlink r:id="rId13" w:history="1">
              <w:r w:rsidRPr="005641C6">
                <w:rPr>
                  <w:rStyle w:val="Hyperlink"/>
                  <w:rFonts w:cstheme="minorHAnsi"/>
                  <w:color w:val="auto"/>
                </w:rPr>
                <w:t>WIOA</w:t>
              </w:r>
            </w:hyperlink>
            <w:r w:rsidRPr="005641C6">
              <w:rPr>
                <w:rFonts w:cstheme="minorHAnsi"/>
              </w:rPr>
              <w:t> and </w:t>
            </w:r>
            <w:hyperlink r:id="rId14" w:history="1">
              <w:r w:rsidRPr="005641C6">
                <w:rPr>
                  <w:rStyle w:val="Hyperlink"/>
                  <w:rFonts w:cstheme="minorHAnsi"/>
                  <w:color w:val="auto"/>
                </w:rPr>
                <w:t>Wagner-Peyser Act</w:t>
              </w:r>
            </w:hyperlink>
            <w:r w:rsidRPr="005641C6">
              <w:rPr>
                <w:rFonts w:cstheme="minorHAnsi"/>
              </w:rPr>
              <w:t> program(s) and those of its </w:t>
            </w:r>
            <w:hyperlink r:id="rId15" w:history="1">
              <w:r w:rsidRPr="005641C6">
                <w:rPr>
                  <w:rStyle w:val="Hyperlink"/>
                  <w:rFonts w:cstheme="minorHAnsi"/>
                  <w:color w:val="auto"/>
                </w:rPr>
                <w:t>subrecipients</w:t>
              </w:r>
            </w:hyperlink>
            <w:r w:rsidRPr="005641C6">
              <w:rPr>
                <w:rFonts w:cstheme="minorHAnsi"/>
              </w:rPr>
              <w:t> and </w:t>
            </w:r>
            <w:hyperlink r:id="rId16" w:history="1">
              <w:r w:rsidRPr="005641C6">
                <w:rPr>
                  <w:rStyle w:val="Hyperlink"/>
                  <w:rFonts w:cstheme="minorHAnsi"/>
                  <w:color w:val="auto"/>
                </w:rPr>
                <w:t>contractors</w:t>
              </w:r>
            </w:hyperlink>
            <w:r w:rsidRPr="005641C6">
              <w:rPr>
                <w:rFonts w:cstheme="minorHAnsi"/>
              </w:rPr>
              <w:t> as required under title I of </w:t>
            </w:r>
            <w:hyperlink r:id="rId17" w:history="1">
              <w:r w:rsidRPr="005641C6">
                <w:rPr>
                  <w:rStyle w:val="Hyperlink"/>
                  <w:rFonts w:cstheme="minorHAnsi"/>
                  <w:color w:val="auto"/>
                </w:rPr>
                <w:t>WIOA</w:t>
              </w:r>
            </w:hyperlink>
            <w:r w:rsidRPr="005641C6">
              <w:rPr>
                <w:rFonts w:cstheme="minorHAnsi"/>
              </w:rPr>
              <w:t> and the </w:t>
            </w:r>
            <w:hyperlink r:id="rId18" w:history="1">
              <w:r w:rsidRPr="005641C6">
                <w:rPr>
                  <w:rStyle w:val="Hyperlink"/>
                  <w:rFonts w:cstheme="minorHAnsi"/>
                  <w:color w:val="auto"/>
                </w:rPr>
                <w:t>Wagner-Peyser Act</w:t>
              </w:r>
            </w:hyperlink>
            <w:r w:rsidRPr="005641C6">
              <w:rPr>
                <w:rFonts w:cstheme="minorHAnsi"/>
              </w:rPr>
              <w:t>, as well as under </w:t>
            </w:r>
            <w:hyperlink r:id="rId19" w:history="1">
              <w:r w:rsidRPr="005641C6">
                <w:rPr>
                  <w:rStyle w:val="Hyperlink"/>
                  <w:rFonts w:cstheme="minorHAnsi"/>
                  <w:color w:val="auto"/>
                </w:rPr>
                <w:t>2 CFR part 200</w:t>
              </w:r>
            </w:hyperlink>
            <w:r w:rsidRPr="005641C6">
              <w:rPr>
                <w:rFonts w:cstheme="minorHAnsi"/>
              </w:rPr>
              <w:t>, including </w:t>
            </w:r>
            <w:hyperlink r:id="rId20" w:history="1">
              <w:r w:rsidRPr="005641C6">
                <w:rPr>
                  <w:rStyle w:val="Hyperlink"/>
                  <w:rFonts w:cstheme="minorHAnsi"/>
                  <w:color w:val="auto"/>
                </w:rPr>
                <w:t>2</w:t>
              </w:r>
            </w:hyperlink>
            <w:r w:rsidRPr="005641C6">
              <w:rPr>
                <w:rFonts w:cstheme="minorHAnsi"/>
              </w:rPr>
              <w:t> CFR </w:t>
            </w:r>
            <w:hyperlink r:id="rId21" w:history="1">
              <w:r w:rsidRPr="005641C6">
                <w:rPr>
                  <w:rStyle w:val="Hyperlink"/>
                  <w:rFonts w:cstheme="minorHAnsi"/>
                  <w:color w:val="auto"/>
                </w:rPr>
                <w:t>200.327</w:t>
              </w:r>
            </w:hyperlink>
            <w:r w:rsidRPr="005641C6">
              <w:rPr>
                <w:rFonts w:cstheme="minorHAnsi"/>
              </w:rPr>
              <w:t>, </w:t>
            </w:r>
            <w:hyperlink r:id="rId22" w:history="1">
              <w:r w:rsidRPr="005641C6">
                <w:rPr>
                  <w:rStyle w:val="Hyperlink"/>
                  <w:rFonts w:cstheme="minorHAnsi"/>
                  <w:color w:val="auto"/>
                </w:rPr>
                <w:t>200.328</w:t>
              </w:r>
            </w:hyperlink>
            <w:r w:rsidRPr="005641C6">
              <w:rPr>
                <w:rFonts w:cstheme="minorHAnsi"/>
              </w:rPr>
              <w:t>, </w:t>
            </w:r>
            <w:hyperlink r:id="rId23" w:history="1">
              <w:r w:rsidRPr="005641C6">
                <w:rPr>
                  <w:rStyle w:val="Hyperlink"/>
                  <w:rFonts w:cstheme="minorHAnsi"/>
                  <w:color w:val="auto"/>
                </w:rPr>
                <w:t>200.330</w:t>
              </w:r>
            </w:hyperlink>
            <w:r w:rsidRPr="005641C6">
              <w:rPr>
                <w:rFonts w:cstheme="minorHAnsi"/>
              </w:rPr>
              <w:t>, </w:t>
            </w:r>
            <w:hyperlink r:id="rId24" w:history="1">
              <w:r w:rsidRPr="005641C6">
                <w:rPr>
                  <w:rStyle w:val="Hyperlink"/>
                  <w:rFonts w:cstheme="minorHAnsi"/>
                  <w:color w:val="auto"/>
                </w:rPr>
                <w:t>200.331</w:t>
              </w:r>
            </w:hyperlink>
            <w:r w:rsidRPr="005641C6">
              <w:rPr>
                <w:rFonts w:cstheme="minorHAnsi"/>
              </w:rPr>
              <w:t>, and </w:t>
            </w:r>
            <w:hyperlink r:id="rId25" w:history="1">
              <w:r w:rsidRPr="005641C6">
                <w:rPr>
                  <w:rStyle w:val="Hyperlink"/>
                  <w:rFonts w:cstheme="minorHAnsi"/>
                  <w:color w:val="auto"/>
                </w:rPr>
                <w:t>Department</w:t>
              </w:r>
            </w:hyperlink>
            <w:r w:rsidRPr="005641C6">
              <w:rPr>
                <w:rFonts w:cstheme="minorHAnsi"/>
              </w:rPr>
              <w:t> exceptions at </w:t>
            </w:r>
            <w:hyperlink r:id="rId26" w:history="1">
              <w:r w:rsidRPr="005641C6">
                <w:rPr>
                  <w:rStyle w:val="Hyperlink"/>
                  <w:rFonts w:cstheme="minorHAnsi"/>
                  <w:color w:val="auto"/>
                </w:rPr>
                <w:t>2 CFR part 2900</w:t>
              </w:r>
            </w:hyperlink>
            <w:r w:rsidRPr="005641C6">
              <w:rPr>
                <w:rFonts w:cstheme="minorHAnsi"/>
              </w:rPr>
              <w:t>, in order to:</w:t>
            </w:r>
          </w:p>
          <w:p w14:paraId="6B6F3784" w14:textId="77777777" w:rsidR="003B3075" w:rsidRPr="005641C6" w:rsidRDefault="003B3075" w:rsidP="00B25BB4">
            <w:pPr>
              <w:ind w:left="720"/>
              <w:contextualSpacing/>
              <w:rPr>
                <w:rFonts w:cstheme="minorHAnsi"/>
                <w:color w:val="333333"/>
              </w:rPr>
            </w:pPr>
            <w:r w:rsidRPr="005641C6">
              <w:rPr>
                <w:rStyle w:val="enumxml"/>
                <w:rFonts w:cstheme="minorHAnsi"/>
                <w:color w:val="333333"/>
              </w:rPr>
              <w:t>(1)</w:t>
            </w:r>
            <w:r w:rsidRPr="005641C6">
              <w:rPr>
                <w:rFonts w:cstheme="minorHAnsi"/>
                <w:color w:val="333333"/>
              </w:rPr>
              <w:t> Determine that expenditures have been made against the proper cost categories and within the cost limitations specified in </w:t>
            </w:r>
            <w:hyperlink r:id="rId27" w:history="1">
              <w:r w:rsidRPr="005641C6">
                <w:rPr>
                  <w:rStyle w:val="Hyperlink"/>
                  <w:rFonts w:cstheme="minorHAnsi"/>
                  <w:color w:val="0068AC"/>
                  <w:u w:val="single"/>
                </w:rPr>
                <w:t>WIOA</w:t>
              </w:r>
            </w:hyperlink>
            <w:r w:rsidRPr="005641C6">
              <w:rPr>
                <w:rFonts w:cstheme="minorHAnsi"/>
                <w:color w:val="333333"/>
                <w:u w:val="single"/>
              </w:rPr>
              <w:t> </w:t>
            </w:r>
            <w:r w:rsidRPr="005641C6">
              <w:rPr>
                <w:rFonts w:cstheme="minorHAnsi"/>
                <w:color w:val="333333"/>
              </w:rPr>
              <w:t>and the regulations in this part;</w:t>
            </w:r>
          </w:p>
          <w:p w14:paraId="24B1AAE1" w14:textId="77777777" w:rsidR="003B3075" w:rsidRPr="005641C6" w:rsidRDefault="003B3075" w:rsidP="00B25BB4">
            <w:pPr>
              <w:ind w:left="720"/>
              <w:contextualSpacing/>
              <w:rPr>
                <w:rFonts w:cstheme="minorHAnsi"/>
                <w:color w:val="333333"/>
              </w:rPr>
            </w:pPr>
            <w:r w:rsidRPr="005641C6">
              <w:rPr>
                <w:rStyle w:val="enumxml"/>
                <w:rFonts w:cstheme="minorHAnsi"/>
                <w:color w:val="333333"/>
              </w:rPr>
              <w:t>(2)</w:t>
            </w:r>
            <w:r w:rsidRPr="005641C6">
              <w:rPr>
                <w:rFonts w:cstheme="minorHAnsi"/>
                <w:color w:val="333333"/>
              </w:rPr>
              <w:t> Determine whether there is compliance with other provisions of </w:t>
            </w:r>
            <w:hyperlink r:id="rId28" w:history="1">
              <w:r w:rsidRPr="005641C6">
                <w:rPr>
                  <w:rStyle w:val="Hyperlink"/>
                  <w:rFonts w:cstheme="minorHAnsi"/>
                  <w:color w:val="0068AC"/>
                </w:rPr>
                <w:t>WIOA</w:t>
              </w:r>
            </w:hyperlink>
            <w:r w:rsidRPr="005641C6">
              <w:rPr>
                <w:rFonts w:cstheme="minorHAnsi"/>
                <w:color w:val="333333"/>
              </w:rPr>
              <w:t> and the </w:t>
            </w:r>
            <w:hyperlink r:id="rId29" w:history="1">
              <w:r w:rsidRPr="005641C6">
                <w:rPr>
                  <w:rStyle w:val="Hyperlink"/>
                  <w:rFonts w:cstheme="minorHAnsi"/>
                  <w:color w:val="0068AC"/>
                </w:rPr>
                <w:t>WIOA regulations</w:t>
              </w:r>
            </w:hyperlink>
            <w:r w:rsidRPr="005641C6">
              <w:rPr>
                <w:rFonts w:cstheme="minorHAnsi"/>
                <w:color w:val="333333"/>
              </w:rPr>
              <w:t> and other applicable laws and regulations;</w:t>
            </w:r>
          </w:p>
          <w:p w14:paraId="4EF5512E" w14:textId="77777777" w:rsidR="003B3075" w:rsidRPr="005641C6" w:rsidRDefault="003B3075" w:rsidP="00B25BB4">
            <w:pPr>
              <w:ind w:left="720"/>
              <w:contextualSpacing/>
              <w:rPr>
                <w:rFonts w:cstheme="minorHAnsi"/>
                <w:color w:val="333333"/>
              </w:rPr>
            </w:pPr>
            <w:r w:rsidRPr="005641C6">
              <w:rPr>
                <w:rStyle w:val="enumxml"/>
                <w:rFonts w:cstheme="minorHAnsi"/>
                <w:color w:val="333333"/>
              </w:rPr>
              <w:t>(3)</w:t>
            </w:r>
            <w:r w:rsidRPr="005641C6">
              <w:rPr>
                <w:rFonts w:cstheme="minorHAnsi"/>
                <w:color w:val="333333"/>
              </w:rPr>
              <w:t> Assure compliance with </w:t>
            </w:r>
            <w:hyperlink r:id="rId30" w:history="1">
              <w:r w:rsidRPr="005641C6">
                <w:rPr>
                  <w:rStyle w:val="Hyperlink"/>
                  <w:rFonts w:cstheme="minorHAnsi"/>
                  <w:color w:val="0068AC"/>
                  <w:u w:val="single"/>
                </w:rPr>
                <w:t>2 CFR part 200</w:t>
              </w:r>
            </w:hyperlink>
            <w:r w:rsidRPr="005641C6">
              <w:rPr>
                <w:rFonts w:cstheme="minorHAnsi"/>
                <w:color w:val="333333"/>
              </w:rPr>
              <w:t xml:space="preserve">; and 29 CFR 38.4 29 </w:t>
            </w:r>
            <w:hyperlink r:id="rId31" w:history="1">
              <w:r w:rsidRPr="005641C6">
                <w:rPr>
                  <w:rStyle w:val="Hyperlink"/>
                  <w:rFonts w:cstheme="minorHAnsi"/>
                  <w:u w:val="single"/>
                </w:rPr>
                <w:t>CFR 38.4 Definitions Nondiscrimination and  EEO under WIOA</w:t>
              </w:r>
            </w:hyperlink>
          </w:p>
          <w:p w14:paraId="1F2129EB" w14:textId="2621F2CD" w:rsidR="000B50F1" w:rsidRPr="000B50F1" w:rsidRDefault="003B3075" w:rsidP="000B50F1">
            <w:pPr>
              <w:ind w:left="720"/>
              <w:contextualSpacing/>
              <w:rPr>
                <w:rFonts w:cstheme="minorHAnsi"/>
                <w:color w:val="333333"/>
              </w:rPr>
            </w:pPr>
            <w:r w:rsidRPr="005641C6">
              <w:rPr>
                <w:rStyle w:val="enumxml"/>
                <w:rFonts w:cstheme="minorHAnsi"/>
                <w:color w:val="333333"/>
              </w:rPr>
              <w:t>(4)</w:t>
            </w:r>
            <w:r w:rsidRPr="005641C6">
              <w:rPr>
                <w:rFonts w:cstheme="minorHAnsi"/>
                <w:color w:val="333333"/>
              </w:rPr>
              <w:t> Determine</w:t>
            </w:r>
            <w:r w:rsidRPr="00B12008">
              <w:rPr>
                <w:rFonts w:cstheme="minorHAnsi"/>
                <w:color w:val="333333"/>
              </w:rPr>
              <w:t xml:space="preserve"> compliance with the nondiscrimination, disability, and equal opportunity requirements of sec. 188 of </w:t>
            </w:r>
            <w:hyperlink r:id="rId32" w:history="1">
              <w:r w:rsidRPr="00B12008">
                <w:rPr>
                  <w:rStyle w:val="Hyperlink"/>
                  <w:rFonts w:cstheme="minorHAnsi"/>
                  <w:color w:val="0068AC"/>
                </w:rPr>
                <w:t>WIOA</w:t>
              </w:r>
            </w:hyperlink>
            <w:r w:rsidRPr="00B12008">
              <w:rPr>
                <w:rFonts w:cstheme="minorHAnsi"/>
                <w:color w:val="333333"/>
              </w:rPr>
              <w:t>, including the </w:t>
            </w:r>
            <w:hyperlink r:id="rId33" w:history="1">
              <w:r w:rsidRPr="00B12008">
                <w:rPr>
                  <w:rStyle w:val="Hyperlink"/>
                  <w:rFonts w:cstheme="minorHAnsi"/>
                  <w:color w:val="0068AC"/>
                  <w:u w:val="single"/>
                </w:rPr>
                <w:t>Assistive Technology Act of 1998</w:t>
              </w:r>
            </w:hyperlink>
            <w:r w:rsidRPr="00B12008">
              <w:rPr>
                <w:rFonts w:cstheme="minorHAnsi"/>
                <w:color w:val="333333"/>
                <w:u w:val="single"/>
              </w:rPr>
              <w:t> (</w:t>
            </w:r>
            <w:hyperlink r:id="rId34" w:history="1">
              <w:r w:rsidRPr="00B12008">
                <w:rPr>
                  <w:rStyle w:val="Hyperlink"/>
                  <w:rFonts w:cstheme="minorHAnsi"/>
                  <w:color w:val="0068AC"/>
                  <w:u w:val="single"/>
                </w:rPr>
                <w:t>29 U.S.C. 3003</w:t>
              </w:r>
            </w:hyperlink>
            <w:r w:rsidRPr="00B12008">
              <w:rPr>
                <w:rFonts w:cstheme="minorHAnsi"/>
                <w:color w:val="333333"/>
                <w:u w:val="single"/>
              </w:rPr>
              <w:t>).</w:t>
            </w:r>
          </w:p>
          <w:p w14:paraId="6CB3C4F0" w14:textId="62255A3E" w:rsidR="005641C6" w:rsidRDefault="00A529DF" w:rsidP="00131224">
            <w:pPr>
              <w:tabs>
                <w:tab w:val="left" w:pos="1570"/>
              </w:tabs>
              <w:rPr>
                <w:rStyle w:val="Hyperlink"/>
                <w:rFonts w:asciiTheme="majorHAnsi" w:hAnsiTheme="majorHAnsi" w:cstheme="majorHAnsi"/>
                <w:b/>
                <w:bCs/>
                <w:sz w:val="24"/>
                <w:szCs w:val="24"/>
                <w:u w:val="single"/>
              </w:rPr>
            </w:pPr>
            <w:hyperlink r:id="rId35" w:history="1">
              <w:r w:rsidR="00B25BB4">
                <w:rPr>
                  <w:rStyle w:val="Hyperlink"/>
                  <w:rFonts w:asciiTheme="majorHAnsi" w:hAnsiTheme="majorHAnsi" w:cstheme="majorHAnsi"/>
                  <w:b/>
                  <w:bCs/>
                  <w:sz w:val="24"/>
                  <w:szCs w:val="24"/>
                  <w:u w:val="single"/>
                </w:rPr>
                <w:t>20 CFR 651</w:t>
              </w:r>
            </w:hyperlink>
          </w:p>
          <w:p w14:paraId="1B61933B" w14:textId="2AB44D85" w:rsidR="005641C6" w:rsidRPr="005641C6" w:rsidRDefault="005641C6" w:rsidP="00131224">
            <w:pPr>
              <w:tabs>
                <w:tab w:val="left" w:pos="1570"/>
              </w:tabs>
              <w:rPr>
                <w:rStyle w:val="Hyperlink"/>
                <w:rFonts w:cstheme="minorHAnsi"/>
                <w:b/>
                <w:bCs/>
                <w:color w:val="auto"/>
                <w:sz w:val="24"/>
                <w:szCs w:val="24"/>
              </w:rPr>
            </w:pPr>
            <w:r w:rsidRPr="005641C6">
              <w:rPr>
                <w:rStyle w:val="Hyperlink"/>
                <w:rFonts w:cstheme="minorHAnsi"/>
                <w:b/>
                <w:bCs/>
                <w:color w:val="auto"/>
                <w:sz w:val="24"/>
                <w:szCs w:val="24"/>
              </w:rPr>
              <w:t>General Provisions Governing the Wagner-Peyser Act Employment Service</w:t>
            </w:r>
          </w:p>
          <w:p w14:paraId="49DD0635" w14:textId="0E13BC0D" w:rsidR="00AF0F64" w:rsidRPr="000B50F1" w:rsidRDefault="00A529DF" w:rsidP="000B50F1">
            <w:pPr>
              <w:tabs>
                <w:tab w:val="left" w:pos="1570"/>
              </w:tabs>
              <w:rPr>
                <w:rFonts w:cstheme="minorHAnsi"/>
                <w:sz w:val="24"/>
                <w:szCs w:val="24"/>
              </w:rPr>
            </w:pPr>
            <w:hyperlink r:id="rId36" w:history="1">
              <w:r w:rsidR="005641C6">
                <w:rPr>
                  <w:rStyle w:val="Hyperlink"/>
                  <w:rFonts w:asciiTheme="majorHAnsi" w:hAnsiTheme="majorHAnsi" w:cstheme="majorHAnsi"/>
                  <w:b/>
                  <w:bCs/>
                  <w:sz w:val="24"/>
                  <w:szCs w:val="24"/>
                  <w:u w:val="single"/>
                </w:rPr>
                <w:t>651.10</w:t>
              </w:r>
            </w:hyperlink>
            <w:r w:rsidR="0078648D" w:rsidRPr="0078648D">
              <w:rPr>
                <w:rFonts w:asciiTheme="majorHAnsi" w:hAnsiTheme="majorHAnsi" w:cstheme="majorHAnsi"/>
                <w:b/>
                <w:bCs/>
                <w:sz w:val="24"/>
                <w:szCs w:val="24"/>
              </w:rPr>
              <w:t xml:space="preserve"> </w:t>
            </w:r>
            <w:r w:rsidR="0078648D" w:rsidRPr="005641C6">
              <w:rPr>
                <w:rFonts w:cstheme="minorHAnsi"/>
                <w:sz w:val="24"/>
                <w:szCs w:val="24"/>
              </w:rPr>
              <w:t xml:space="preserve">Definitions of terms used in this part and </w:t>
            </w:r>
            <w:hyperlink r:id="rId37" w:history="1">
              <w:r w:rsidR="0078648D" w:rsidRPr="005641C6">
                <w:rPr>
                  <w:rStyle w:val="Hyperlink"/>
                  <w:rFonts w:cstheme="minorHAnsi"/>
                  <w:color w:val="auto"/>
                  <w:sz w:val="24"/>
                  <w:szCs w:val="24"/>
                </w:rPr>
                <w:t>parts 652</w:t>
              </w:r>
            </w:hyperlink>
            <w:r w:rsidR="0078648D" w:rsidRPr="005641C6">
              <w:rPr>
                <w:rFonts w:cstheme="minorHAnsi"/>
                <w:sz w:val="24"/>
                <w:szCs w:val="24"/>
              </w:rPr>
              <w:t xml:space="preserve">, </w:t>
            </w:r>
            <w:hyperlink r:id="rId38" w:history="1">
              <w:r w:rsidR="0078648D" w:rsidRPr="005641C6">
                <w:rPr>
                  <w:rStyle w:val="Hyperlink"/>
                  <w:rFonts w:cstheme="minorHAnsi"/>
                  <w:color w:val="auto"/>
                  <w:sz w:val="24"/>
                  <w:szCs w:val="24"/>
                </w:rPr>
                <w:t>653</w:t>
              </w:r>
            </w:hyperlink>
            <w:r w:rsidR="0078648D" w:rsidRPr="005641C6">
              <w:rPr>
                <w:rFonts w:cstheme="minorHAnsi"/>
                <w:sz w:val="24"/>
                <w:szCs w:val="24"/>
              </w:rPr>
              <w:t xml:space="preserve">, </w:t>
            </w:r>
            <w:hyperlink r:id="rId39" w:history="1">
              <w:r w:rsidR="0078648D" w:rsidRPr="005641C6">
                <w:rPr>
                  <w:rStyle w:val="Hyperlink"/>
                  <w:rFonts w:cstheme="minorHAnsi"/>
                  <w:color w:val="auto"/>
                  <w:sz w:val="24"/>
                  <w:szCs w:val="24"/>
                </w:rPr>
                <w:t>654</w:t>
              </w:r>
            </w:hyperlink>
            <w:r w:rsidR="0078648D" w:rsidRPr="005641C6">
              <w:rPr>
                <w:rFonts w:cstheme="minorHAnsi"/>
                <w:sz w:val="24"/>
                <w:szCs w:val="24"/>
              </w:rPr>
              <w:t xml:space="preserve">, and </w:t>
            </w:r>
            <w:hyperlink r:id="rId40" w:history="1">
              <w:r w:rsidR="0078648D" w:rsidRPr="005641C6">
                <w:rPr>
                  <w:rStyle w:val="Hyperlink"/>
                  <w:rFonts w:cstheme="minorHAnsi"/>
                  <w:color w:val="auto"/>
                  <w:sz w:val="24"/>
                  <w:szCs w:val="24"/>
                </w:rPr>
                <w:t>658 of this chapter</w:t>
              </w:r>
            </w:hyperlink>
            <w:r w:rsidR="0078648D" w:rsidRPr="005641C6">
              <w:rPr>
                <w:rFonts w:cstheme="minorHAnsi"/>
                <w:sz w:val="24"/>
                <w:szCs w:val="24"/>
              </w:rPr>
              <w:t>.</w:t>
            </w:r>
          </w:p>
          <w:p w14:paraId="6A896998" w14:textId="4E03DE61" w:rsidR="005641C6" w:rsidRDefault="00A529DF" w:rsidP="00131224">
            <w:pPr>
              <w:tabs>
                <w:tab w:val="left" w:pos="1570"/>
              </w:tabs>
              <w:contextualSpacing/>
              <w:rPr>
                <w:rStyle w:val="Hyperlink"/>
                <w:rFonts w:asciiTheme="majorHAnsi" w:hAnsiTheme="majorHAnsi" w:cstheme="majorHAnsi"/>
                <w:b/>
                <w:bCs/>
                <w:sz w:val="24"/>
                <w:szCs w:val="24"/>
                <w:u w:val="single"/>
              </w:rPr>
            </w:pPr>
            <w:hyperlink r:id="rId41" w:history="1">
              <w:r w:rsidR="00B25BB4">
                <w:rPr>
                  <w:rStyle w:val="Hyperlink"/>
                  <w:rFonts w:asciiTheme="majorHAnsi" w:hAnsiTheme="majorHAnsi" w:cstheme="majorHAnsi"/>
                  <w:b/>
                  <w:bCs/>
                  <w:sz w:val="24"/>
                  <w:szCs w:val="24"/>
                  <w:u w:val="single"/>
                </w:rPr>
                <w:t>20 CFR 652</w:t>
              </w:r>
            </w:hyperlink>
          </w:p>
          <w:p w14:paraId="5B2D8B80" w14:textId="3B04BBAA" w:rsidR="005641C6" w:rsidRPr="005641C6" w:rsidRDefault="005641C6" w:rsidP="00131224">
            <w:pPr>
              <w:tabs>
                <w:tab w:val="left" w:pos="1570"/>
              </w:tabs>
              <w:contextualSpacing/>
              <w:rPr>
                <w:rFonts w:cstheme="minorHAnsi"/>
                <w:b/>
                <w:bCs/>
                <w:sz w:val="24"/>
                <w:szCs w:val="24"/>
              </w:rPr>
            </w:pPr>
            <w:r w:rsidRPr="005641C6">
              <w:rPr>
                <w:rFonts w:cstheme="minorHAnsi"/>
                <w:b/>
                <w:bCs/>
                <w:sz w:val="24"/>
                <w:szCs w:val="24"/>
              </w:rPr>
              <w:t>Establishment and Functioning of State Employment Service</w:t>
            </w:r>
          </w:p>
          <w:p w14:paraId="2EE94575" w14:textId="0DFDF53B" w:rsidR="005641C6" w:rsidRPr="00131224" w:rsidRDefault="00A529DF" w:rsidP="00131224">
            <w:pPr>
              <w:rPr>
                <w:rFonts w:cstheme="minorHAnsi"/>
                <w:b/>
                <w:bCs/>
                <w:sz w:val="24"/>
                <w:szCs w:val="24"/>
              </w:rPr>
            </w:pPr>
            <w:hyperlink r:id="rId42" w:history="1">
              <w:r w:rsidR="00C422E4" w:rsidRPr="00C422E4">
                <w:rPr>
                  <w:rStyle w:val="Hyperlink"/>
                  <w:u w:val="single"/>
                </w:rPr>
                <w:t>§</w:t>
              </w:r>
              <w:r w:rsidR="00AF0F64">
                <w:rPr>
                  <w:rStyle w:val="Hyperlink"/>
                  <w:u w:val="single"/>
                </w:rPr>
                <w:t xml:space="preserve"> </w:t>
              </w:r>
              <w:r w:rsidR="00A9439F" w:rsidRPr="00C422E4">
                <w:rPr>
                  <w:rStyle w:val="Hyperlink"/>
                  <w:rFonts w:asciiTheme="majorHAnsi" w:hAnsiTheme="majorHAnsi" w:cstheme="majorHAnsi"/>
                  <w:b/>
                  <w:bCs/>
                  <w:sz w:val="24"/>
                  <w:szCs w:val="24"/>
                  <w:u w:val="single"/>
                </w:rPr>
                <w:t>652.206</w:t>
              </w:r>
            </w:hyperlink>
            <w:r w:rsidR="00A9439F" w:rsidRPr="005641C6">
              <w:rPr>
                <w:rFonts w:asciiTheme="majorHAnsi" w:hAnsiTheme="majorHAnsi" w:cstheme="majorHAnsi"/>
                <w:sz w:val="24"/>
                <w:szCs w:val="24"/>
              </w:rPr>
              <w:t xml:space="preserve"> </w:t>
            </w:r>
            <w:r w:rsidR="00A9439F" w:rsidRPr="00131224">
              <w:rPr>
                <w:rFonts w:cstheme="minorHAnsi"/>
                <w:b/>
                <w:bCs/>
                <w:sz w:val="24"/>
                <w:szCs w:val="24"/>
              </w:rPr>
              <w:t xml:space="preserve">May a </w:t>
            </w:r>
            <w:proofErr w:type="gramStart"/>
            <w:r w:rsidR="00A9439F" w:rsidRPr="00131224">
              <w:rPr>
                <w:rFonts w:cstheme="minorHAnsi"/>
                <w:b/>
                <w:bCs/>
                <w:sz w:val="24"/>
                <w:szCs w:val="24"/>
              </w:rPr>
              <w:t>State</w:t>
            </w:r>
            <w:proofErr w:type="gramEnd"/>
            <w:r w:rsidR="00A9439F" w:rsidRPr="00131224">
              <w:rPr>
                <w:rFonts w:cstheme="minorHAnsi"/>
                <w:b/>
                <w:bCs/>
                <w:sz w:val="24"/>
                <w:szCs w:val="24"/>
              </w:rPr>
              <w:t xml:space="preserve"> use funds authorized under the Wagner-Peyser Act to provide applicable “career services,”</w:t>
            </w:r>
            <w:r w:rsidR="00131224" w:rsidRPr="00131224">
              <w:rPr>
                <w:rFonts w:cstheme="minorHAnsi"/>
                <w:b/>
                <w:bCs/>
                <w:sz w:val="24"/>
                <w:szCs w:val="24"/>
              </w:rPr>
              <w:t xml:space="preserve"> </w:t>
            </w:r>
            <w:r w:rsidR="00A9439F" w:rsidRPr="00131224">
              <w:rPr>
                <w:rFonts w:cstheme="minorHAnsi"/>
                <w:b/>
                <w:bCs/>
                <w:sz w:val="24"/>
                <w:szCs w:val="24"/>
              </w:rPr>
              <w:t>as defined in the Workforce Innovation and Opportunity Act?</w:t>
            </w:r>
          </w:p>
          <w:p w14:paraId="16F72A51" w14:textId="0C4BA142" w:rsidR="00131224" w:rsidRDefault="00A9439F" w:rsidP="00131224">
            <w:pPr>
              <w:rPr>
                <w:rFonts w:cstheme="minorHAnsi"/>
              </w:rPr>
            </w:pPr>
            <w:r w:rsidRPr="005565DC">
              <w:rPr>
                <w:rFonts w:cstheme="minorHAnsi"/>
              </w:rPr>
              <w:t xml:space="preserve">Yes, funds authorized under sec. 7(a) of the Wagner-Peyser Act must be used to provide basic career services as identified in </w:t>
            </w:r>
            <w:hyperlink r:id="rId43" w:anchor="p-678.430(a)" w:history="1">
              <w:r w:rsidRPr="005565DC">
                <w:rPr>
                  <w:rStyle w:val="Hyperlink"/>
                  <w:rFonts w:cstheme="minorHAnsi"/>
                  <w:u w:val="single"/>
                </w:rPr>
                <w:t>§ 678.430(a) of this chapte</w:t>
              </w:r>
              <w:r w:rsidRPr="005565DC">
                <w:rPr>
                  <w:rStyle w:val="Hyperlink"/>
                  <w:rFonts w:cstheme="minorHAnsi"/>
                </w:rPr>
                <w:t>r</w:t>
              </w:r>
            </w:hyperlink>
            <w:r w:rsidRPr="005565DC">
              <w:rPr>
                <w:rFonts w:cstheme="minorHAnsi"/>
              </w:rPr>
              <w:t xml:space="preserve"> and secs. 134(c)(2)(A)(i)-(xi) of WIOA, and may be used to provide individualized career services as identified in </w:t>
            </w:r>
            <w:hyperlink r:id="rId44" w:anchor="p-678.430(b)" w:history="1">
              <w:r w:rsidRPr="005565DC">
                <w:rPr>
                  <w:rStyle w:val="Hyperlink"/>
                  <w:rFonts w:cstheme="minorHAnsi"/>
                  <w:u w:val="single"/>
                </w:rPr>
                <w:t>§ 678.430(b) of this chapter</w:t>
              </w:r>
            </w:hyperlink>
            <w:r w:rsidRPr="005565DC">
              <w:rPr>
                <w:rFonts w:cstheme="minorHAnsi"/>
              </w:rPr>
              <w:t xml:space="preserve"> and sec. 134(c)(2)(A)(xii) of WIOA. Funds authorized under sec. 7(b) of the Wagner-Peyser Act may be used to provide career services. Career services must be provided consistent with the requirements of the Wagner-Peyser Act.</w:t>
            </w:r>
          </w:p>
          <w:p w14:paraId="3059F940" w14:textId="43744777" w:rsidR="00C422E4" w:rsidRPr="00131224" w:rsidRDefault="00A529DF" w:rsidP="00B25BB4">
            <w:pPr>
              <w:contextualSpacing/>
              <w:rPr>
                <w:rFonts w:cstheme="minorHAnsi"/>
                <w:b/>
                <w:bCs/>
                <w:sz w:val="24"/>
                <w:szCs w:val="24"/>
              </w:rPr>
            </w:pPr>
            <w:hyperlink r:id="rId45" w:history="1">
              <w:r w:rsidR="00C422E4" w:rsidRPr="00C422E4">
                <w:rPr>
                  <w:rStyle w:val="Hyperlink"/>
                  <w:u w:val="single"/>
                </w:rPr>
                <w:t>§</w:t>
              </w:r>
              <w:r w:rsidR="00C422E4" w:rsidRPr="00C422E4">
                <w:rPr>
                  <w:rStyle w:val="Hyperlink"/>
                  <w:rFonts w:asciiTheme="majorHAnsi" w:hAnsiTheme="majorHAnsi" w:cstheme="majorHAnsi"/>
                  <w:b/>
                  <w:bCs/>
                  <w:sz w:val="24"/>
                  <w:szCs w:val="24"/>
                  <w:u w:val="single"/>
                </w:rPr>
                <w:t xml:space="preserve"> </w:t>
              </w:r>
              <w:r w:rsidR="00A9439F" w:rsidRPr="00C422E4">
                <w:rPr>
                  <w:rStyle w:val="Hyperlink"/>
                  <w:rFonts w:asciiTheme="majorHAnsi" w:hAnsiTheme="majorHAnsi" w:cstheme="majorHAnsi"/>
                  <w:b/>
                  <w:bCs/>
                  <w:sz w:val="24"/>
                  <w:szCs w:val="24"/>
                  <w:u w:val="single"/>
                </w:rPr>
                <w:t>652.207</w:t>
              </w:r>
            </w:hyperlink>
            <w:r w:rsidR="00A9439F" w:rsidRPr="00C422E4">
              <w:rPr>
                <w:rFonts w:asciiTheme="majorHAnsi" w:hAnsiTheme="majorHAnsi" w:cstheme="majorHAnsi"/>
                <w:b/>
                <w:bCs/>
                <w:sz w:val="24"/>
                <w:szCs w:val="24"/>
              </w:rPr>
              <w:t xml:space="preserve"> </w:t>
            </w:r>
            <w:r w:rsidR="00A9439F" w:rsidRPr="00131224">
              <w:rPr>
                <w:rFonts w:cstheme="minorHAnsi"/>
                <w:b/>
                <w:bCs/>
                <w:sz w:val="24"/>
                <w:szCs w:val="24"/>
              </w:rPr>
              <w:t>How does a State meet the requirement for universal access to services provided under the Wagner-Peyser Act?</w:t>
            </w:r>
          </w:p>
          <w:p w14:paraId="41568AB6" w14:textId="77777777" w:rsidR="00C422E4" w:rsidRDefault="00A9439F" w:rsidP="00131224">
            <w:pPr>
              <w:contextualSpacing/>
              <w:rPr>
                <w:rFonts w:cstheme="minorHAnsi"/>
              </w:rPr>
            </w:pPr>
            <w:r w:rsidRPr="005565DC">
              <w:rPr>
                <w:rStyle w:val="paren"/>
                <w:rFonts w:eastAsiaTheme="minorEastAsia" w:cstheme="minorHAnsi"/>
              </w:rPr>
              <w:t>(</w:t>
            </w:r>
            <w:r w:rsidRPr="005565DC">
              <w:rPr>
                <w:rStyle w:val="paragraph-hierarchy"/>
                <w:rFonts w:eastAsiaTheme="majorEastAsia" w:cstheme="minorHAnsi"/>
              </w:rPr>
              <w:t>a</w:t>
            </w:r>
            <w:r w:rsidRPr="005565DC">
              <w:rPr>
                <w:rStyle w:val="paren"/>
                <w:rFonts w:eastAsiaTheme="minorEastAsia" w:cstheme="minorHAnsi"/>
              </w:rPr>
              <w:t>)</w:t>
            </w:r>
            <w:r w:rsidRPr="005565DC">
              <w:rPr>
                <w:rFonts w:cstheme="minorHAnsi"/>
              </w:rPr>
              <w:t xml:space="preserve"> A State has discretion in how it meets the requirement for universal access to services provided under the Wagner-Peyser Act. In exercising this discretion, a State must meet the Wagner-Peyser Act's requirements. </w:t>
            </w:r>
          </w:p>
          <w:p w14:paraId="366D11FD" w14:textId="77777777" w:rsidR="00C422E4" w:rsidRDefault="00A9439F" w:rsidP="00131224">
            <w:pPr>
              <w:contextualSpacing/>
              <w:rPr>
                <w:rFonts w:cstheme="minorHAnsi"/>
              </w:rPr>
            </w:pPr>
            <w:r w:rsidRPr="005565DC">
              <w:rPr>
                <w:rStyle w:val="paren"/>
                <w:rFonts w:eastAsiaTheme="minorEastAsia" w:cstheme="minorHAnsi"/>
              </w:rPr>
              <w:t>(</w:t>
            </w:r>
            <w:r w:rsidRPr="005565DC">
              <w:rPr>
                <w:rStyle w:val="paragraph-hierarchy"/>
                <w:rFonts w:eastAsiaTheme="majorEastAsia" w:cstheme="minorHAnsi"/>
              </w:rPr>
              <w:t>b</w:t>
            </w:r>
            <w:r w:rsidRPr="005565DC">
              <w:rPr>
                <w:rStyle w:val="paren"/>
                <w:rFonts w:eastAsiaTheme="minorEastAsia" w:cstheme="minorHAnsi"/>
              </w:rPr>
              <w:t>)</w:t>
            </w:r>
            <w:r w:rsidRPr="005565DC">
              <w:rPr>
                <w:rFonts w:cstheme="minorHAnsi"/>
              </w:rPr>
              <w:t xml:space="preserve"> These requirements are: </w:t>
            </w:r>
          </w:p>
          <w:p w14:paraId="5D3F7C54" w14:textId="77777777" w:rsidR="00C422E4" w:rsidRDefault="00A9439F" w:rsidP="00131224">
            <w:pPr>
              <w:ind w:left="720"/>
              <w:contextualSpacing/>
              <w:rPr>
                <w:rFonts w:cstheme="minorHAnsi"/>
              </w:rPr>
            </w:pPr>
            <w:r w:rsidRPr="005565DC">
              <w:rPr>
                <w:rStyle w:val="paren"/>
                <w:rFonts w:eastAsiaTheme="minorEastAsia" w:cstheme="minorHAnsi"/>
              </w:rPr>
              <w:t>(</w:t>
            </w:r>
            <w:r w:rsidRPr="005565DC">
              <w:rPr>
                <w:rStyle w:val="paragraph-hierarchy"/>
                <w:rFonts w:eastAsiaTheme="majorEastAsia" w:cstheme="minorHAnsi"/>
              </w:rPr>
              <w:t>1</w:t>
            </w:r>
            <w:r w:rsidRPr="005565DC">
              <w:rPr>
                <w:rStyle w:val="paren"/>
                <w:rFonts w:eastAsiaTheme="minorEastAsia" w:cstheme="minorHAnsi"/>
              </w:rPr>
              <w:t>)</w:t>
            </w:r>
            <w:r w:rsidRPr="005565DC">
              <w:rPr>
                <w:rFonts w:cstheme="minorHAnsi"/>
              </w:rPr>
              <w:t xml:space="preserve"> Labor exchange services must be available to all employers and job seekers, including unemployment insurance (UI) claimants, veterans, migrant and seasonal farmworkers, and individuals with disabilities; </w:t>
            </w:r>
          </w:p>
          <w:p w14:paraId="4993E195" w14:textId="77777777" w:rsidR="00C422E4" w:rsidRDefault="00A9439F" w:rsidP="00131224">
            <w:pPr>
              <w:ind w:left="720"/>
              <w:contextualSpacing/>
              <w:rPr>
                <w:rFonts w:cstheme="minorHAnsi"/>
              </w:rPr>
            </w:pPr>
            <w:r w:rsidRPr="005565DC">
              <w:rPr>
                <w:rStyle w:val="paren"/>
                <w:rFonts w:eastAsiaTheme="minorEastAsia" w:cstheme="minorHAnsi"/>
              </w:rPr>
              <w:t>(</w:t>
            </w:r>
            <w:r w:rsidRPr="005565DC">
              <w:rPr>
                <w:rStyle w:val="paragraph-hierarchy"/>
                <w:rFonts w:eastAsiaTheme="majorEastAsia" w:cstheme="minorHAnsi"/>
              </w:rPr>
              <w:t>2</w:t>
            </w:r>
            <w:r w:rsidRPr="005565DC">
              <w:rPr>
                <w:rStyle w:val="paren"/>
                <w:rFonts w:eastAsiaTheme="minorEastAsia" w:cstheme="minorHAnsi"/>
              </w:rPr>
              <w:t>)</w:t>
            </w:r>
            <w:r w:rsidRPr="005565DC">
              <w:rPr>
                <w:rFonts w:cstheme="minorHAnsi"/>
              </w:rPr>
              <w:t xml:space="preserve"> The State must have the capacity to deliver labor exchange services to employers and job seekers, as described in the Wagner-Peyser Act, on a statewide basis through: </w:t>
            </w:r>
          </w:p>
          <w:p w14:paraId="65E2618B" w14:textId="77777777" w:rsidR="00717C3F" w:rsidRDefault="00A9439F" w:rsidP="00717C3F">
            <w:pPr>
              <w:ind w:left="1440"/>
              <w:contextualSpacing/>
              <w:rPr>
                <w:rFonts w:cstheme="minorHAnsi"/>
              </w:rPr>
            </w:pPr>
            <w:r w:rsidRPr="00717C3F">
              <w:rPr>
                <w:rStyle w:val="paren"/>
                <w:rFonts w:eastAsiaTheme="minorEastAsia" w:cstheme="minorHAnsi"/>
              </w:rPr>
              <w:lastRenderedPageBreak/>
              <w:t>(</w:t>
            </w:r>
            <w:r w:rsidRPr="00717C3F">
              <w:rPr>
                <w:rStyle w:val="paragraph-hierarchy"/>
                <w:rFonts w:eastAsiaTheme="majorEastAsia" w:cstheme="minorHAnsi"/>
              </w:rPr>
              <w:t>i</w:t>
            </w:r>
            <w:r w:rsidRPr="00717C3F">
              <w:rPr>
                <w:rStyle w:val="paren"/>
                <w:rFonts w:eastAsiaTheme="minorEastAsia" w:cstheme="minorHAnsi"/>
              </w:rPr>
              <w:t>)</w:t>
            </w:r>
            <w:r w:rsidRPr="00717C3F">
              <w:rPr>
                <w:rFonts w:cstheme="minorHAnsi"/>
              </w:rPr>
              <w:t xml:space="preserve"> </w:t>
            </w:r>
            <w:r w:rsidRPr="005565DC">
              <w:rPr>
                <w:rFonts w:cstheme="minorHAnsi"/>
              </w:rPr>
              <w:t xml:space="preserve">Self-service, including virtual services; </w:t>
            </w:r>
          </w:p>
          <w:p w14:paraId="52F26374" w14:textId="7BF0F48B" w:rsidR="00A9439F" w:rsidRPr="005565DC" w:rsidRDefault="00A9439F" w:rsidP="00717C3F">
            <w:pPr>
              <w:ind w:left="1440"/>
              <w:contextualSpacing/>
              <w:rPr>
                <w:rFonts w:cstheme="minorHAnsi"/>
                <w:b/>
                <w:bCs/>
              </w:rPr>
            </w:pPr>
            <w:r w:rsidRPr="005565DC">
              <w:rPr>
                <w:rStyle w:val="paren"/>
                <w:rFonts w:eastAsiaTheme="minorEastAsia" w:cstheme="minorHAnsi"/>
              </w:rPr>
              <w:t>(</w:t>
            </w:r>
            <w:r w:rsidRPr="005565DC">
              <w:rPr>
                <w:rStyle w:val="paragraph-hierarchy"/>
                <w:rFonts w:eastAsiaTheme="majorEastAsia" w:cstheme="minorHAnsi"/>
              </w:rPr>
              <w:t>ii</w:t>
            </w:r>
            <w:r w:rsidRPr="005565DC">
              <w:rPr>
                <w:rStyle w:val="paren"/>
                <w:rFonts w:eastAsiaTheme="minorEastAsia" w:cstheme="minorHAnsi"/>
              </w:rPr>
              <w:t>)</w:t>
            </w:r>
            <w:r w:rsidRPr="005565DC">
              <w:rPr>
                <w:rFonts w:cstheme="minorHAnsi"/>
              </w:rPr>
              <w:t xml:space="preserve"> Facilitated self-help service; and </w:t>
            </w:r>
          </w:p>
          <w:p w14:paraId="37DE3B13" w14:textId="77777777" w:rsidR="00A9439F" w:rsidRPr="005565DC" w:rsidRDefault="00A9439F" w:rsidP="00131224">
            <w:pPr>
              <w:pStyle w:val="Heading2"/>
              <w:spacing w:beforeAutospacing="0"/>
              <w:ind w:left="1440"/>
              <w:contextualSpacing/>
              <w:rPr>
                <w:rFonts w:asciiTheme="minorHAnsi" w:hAnsiTheme="minorHAnsi" w:cstheme="minorHAnsi"/>
                <w:b w:val="0"/>
                <w:bCs w:val="0"/>
                <w:sz w:val="22"/>
                <w:szCs w:val="22"/>
              </w:rPr>
            </w:pPr>
            <w:r w:rsidRPr="005565DC">
              <w:rPr>
                <w:rStyle w:val="paren"/>
                <w:rFonts w:asciiTheme="minorHAnsi" w:eastAsiaTheme="minorEastAsia" w:hAnsiTheme="minorHAnsi" w:cstheme="minorHAnsi"/>
                <w:b w:val="0"/>
                <w:bCs w:val="0"/>
                <w:sz w:val="22"/>
                <w:szCs w:val="22"/>
              </w:rPr>
              <w:t>(</w:t>
            </w:r>
            <w:r w:rsidRPr="005565DC">
              <w:rPr>
                <w:rStyle w:val="paragraph-hierarchy"/>
                <w:rFonts w:asciiTheme="minorHAnsi" w:eastAsiaTheme="majorEastAsia" w:hAnsiTheme="minorHAnsi" w:cstheme="minorHAnsi"/>
                <w:b w:val="0"/>
                <w:bCs w:val="0"/>
                <w:sz w:val="22"/>
                <w:szCs w:val="22"/>
              </w:rPr>
              <w:t>iii</w:t>
            </w:r>
            <w:r w:rsidRPr="005565DC">
              <w:rPr>
                <w:rStyle w:val="paren"/>
                <w:rFonts w:asciiTheme="minorHAnsi" w:eastAsiaTheme="minorEastAsia" w:hAnsiTheme="minorHAnsi" w:cstheme="minorHAnsi"/>
                <w:b w:val="0"/>
                <w:bCs w:val="0"/>
                <w:sz w:val="22"/>
                <w:szCs w:val="22"/>
              </w:rPr>
              <w:t>)</w:t>
            </w:r>
            <w:r w:rsidRPr="005565DC">
              <w:rPr>
                <w:rFonts w:asciiTheme="minorHAnsi" w:hAnsiTheme="minorHAnsi" w:cstheme="minorHAnsi"/>
                <w:b w:val="0"/>
                <w:bCs w:val="0"/>
                <w:sz w:val="22"/>
                <w:szCs w:val="22"/>
              </w:rPr>
              <w:t xml:space="preserve"> Staff-assisted service; </w:t>
            </w:r>
          </w:p>
          <w:p w14:paraId="638D0AE3" w14:textId="77777777" w:rsidR="00A9439F" w:rsidRPr="005565DC" w:rsidRDefault="00A9439F" w:rsidP="00131224">
            <w:pPr>
              <w:pStyle w:val="Heading2"/>
              <w:spacing w:beforeAutospacing="0"/>
              <w:ind w:left="720"/>
              <w:contextualSpacing/>
              <w:rPr>
                <w:rFonts w:asciiTheme="minorHAnsi" w:hAnsiTheme="minorHAnsi" w:cstheme="minorHAnsi"/>
                <w:b w:val="0"/>
                <w:bCs w:val="0"/>
                <w:sz w:val="22"/>
                <w:szCs w:val="22"/>
              </w:rPr>
            </w:pPr>
            <w:r w:rsidRPr="005565DC">
              <w:rPr>
                <w:rStyle w:val="paren"/>
                <w:rFonts w:asciiTheme="minorHAnsi" w:eastAsiaTheme="minorEastAsia" w:hAnsiTheme="minorHAnsi" w:cstheme="minorHAnsi"/>
                <w:b w:val="0"/>
                <w:bCs w:val="0"/>
                <w:sz w:val="22"/>
                <w:szCs w:val="22"/>
              </w:rPr>
              <w:t>(</w:t>
            </w:r>
            <w:r w:rsidRPr="005565DC">
              <w:rPr>
                <w:rStyle w:val="paragraph-hierarchy"/>
                <w:rFonts w:asciiTheme="minorHAnsi" w:eastAsiaTheme="majorEastAsia" w:hAnsiTheme="minorHAnsi" w:cstheme="minorHAnsi"/>
                <w:b w:val="0"/>
                <w:bCs w:val="0"/>
                <w:sz w:val="22"/>
                <w:szCs w:val="22"/>
              </w:rPr>
              <w:t>3</w:t>
            </w:r>
            <w:r w:rsidRPr="005565DC">
              <w:rPr>
                <w:rStyle w:val="paren"/>
                <w:rFonts w:asciiTheme="minorHAnsi" w:eastAsiaTheme="minorEastAsia" w:hAnsiTheme="minorHAnsi" w:cstheme="minorHAnsi"/>
                <w:b w:val="0"/>
                <w:bCs w:val="0"/>
                <w:sz w:val="22"/>
                <w:szCs w:val="22"/>
              </w:rPr>
              <w:t>)</w:t>
            </w:r>
            <w:r w:rsidRPr="005565DC">
              <w:rPr>
                <w:rFonts w:asciiTheme="minorHAnsi" w:hAnsiTheme="minorHAnsi" w:cstheme="minorHAnsi"/>
                <w:b w:val="0"/>
                <w:bCs w:val="0"/>
                <w:sz w:val="22"/>
                <w:szCs w:val="22"/>
              </w:rPr>
              <w:t xml:space="preserve"> In each local area, in at least one comprehensive physical center, ES staff must provide labor exchange services </w:t>
            </w:r>
            <w:r w:rsidRPr="005565DC">
              <w:rPr>
                <w:rFonts w:asciiTheme="minorHAnsi" w:hAnsiTheme="minorHAnsi" w:cstheme="minorHAnsi"/>
                <w:b w:val="0"/>
                <w:bCs w:val="0"/>
                <w:sz w:val="22"/>
                <w:szCs w:val="22"/>
                <w:u w:val="single"/>
              </w:rPr>
              <w:t>(including staff-assisted labor exchange services</w:t>
            </w:r>
            <w:r w:rsidRPr="005565DC">
              <w:rPr>
                <w:rFonts w:asciiTheme="minorHAnsi" w:hAnsiTheme="minorHAnsi" w:cstheme="minorHAnsi"/>
                <w:b w:val="0"/>
                <w:bCs w:val="0"/>
                <w:sz w:val="22"/>
                <w:szCs w:val="22"/>
              </w:rPr>
              <w:t xml:space="preserve">) and career services as described in </w:t>
            </w:r>
            <w:hyperlink r:id="rId46" w:history="1">
              <w:r w:rsidRPr="005565DC">
                <w:rPr>
                  <w:rStyle w:val="Hyperlink"/>
                  <w:rFonts w:asciiTheme="minorHAnsi" w:hAnsiTheme="minorHAnsi" w:cstheme="minorHAnsi"/>
                  <w:b w:val="0"/>
                  <w:bCs w:val="0"/>
                  <w:sz w:val="22"/>
                  <w:szCs w:val="22"/>
                  <w:u w:val="single"/>
                </w:rPr>
                <w:t>§ 652.206</w:t>
              </w:r>
            </w:hyperlink>
            <w:r w:rsidRPr="005565DC">
              <w:rPr>
                <w:rFonts w:asciiTheme="minorHAnsi" w:hAnsiTheme="minorHAnsi" w:cstheme="minorHAnsi"/>
                <w:b w:val="0"/>
                <w:bCs w:val="0"/>
                <w:sz w:val="22"/>
                <w:szCs w:val="22"/>
              </w:rPr>
              <w:t xml:space="preserve">; and </w:t>
            </w:r>
          </w:p>
          <w:p w14:paraId="3F92C4FA" w14:textId="75746A02" w:rsidR="00B25BB4" w:rsidRPr="00AF0F64" w:rsidRDefault="00A9439F" w:rsidP="000B50F1">
            <w:pPr>
              <w:pStyle w:val="Heading2"/>
              <w:ind w:left="720"/>
              <w:contextualSpacing/>
              <w:rPr>
                <w:rFonts w:asciiTheme="minorHAnsi" w:hAnsiTheme="minorHAnsi" w:cstheme="minorHAnsi"/>
                <w:b w:val="0"/>
                <w:bCs w:val="0"/>
                <w:sz w:val="22"/>
                <w:szCs w:val="22"/>
              </w:rPr>
            </w:pPr>
            <w:r w:rsidRPr="005565DC">
              <w:rPr>
                <w:rStyle w:val="paren"/>
                <w:rFonts w:asciiTheme="minorHAnsi" w:eastAsiaTheme="minorEastAsia" w:hAnsiTheme="minorHAnsi" w:cstheme="minorHAnsi"/>
                <w:b w:val="0"/>
                <w:bCs w:val="0"/>
                <w:sz w:val="22"/>
                <w:szCs w:val="22"/>
              </w:rPr>
              <w:t>(</w:t>
            </w:r>
            <w:r w:rsidRPr="005565DC">
              <w:rPr>
                <w:rStyle w:val="paragraph-hierarchy"/>
                <w:rFonts w:asciiTheme="minorHAnsi" w:eastAsiaTheme="majorEastAsia" w:hAnsiTheme="minorHAnsi" w:cstheme="minorHAnsi"/>
                <w:b w:val="0"/>
                <w:bCs w:val="0"/>
                <w:sz w:val="22"/>
                <w:szCs w:val="22"/>
              </w:rPr>
              <w:t>4</w:t>
            </w:r>
            <w:r w:rsidRPr="005565DC">
              <w:rPr>
                <w:rStyle w:val="paren"/>
                <w:rFonts w:asciiTheme="minorHAnsi" w:eastAsiaTheme="minorEastAsia" w:hAnsiTheme="minorHAnsi" w:cstheme="minorHAnsi"/>
                <w:b w:val="0"/>
                <w:bCs w:val="0"/>
                <w:sz w:val="22"/>
                <w:szCs w:val="22"/>
              </w:rPr>
              <w:t>)</w:t>
            </w:r>
            <w:r w:rsidRPr="005565DC">
              <w:rPr>
                <w:rFonts w:asciiTheme="minorHAnsi" w:hAnsiTheme="minorHAnsi" w:cstheme="minorHAnsi"/>
                <w:b w:val="0"/>
                <w:bCs w:val="0"/>
                <w:sz w:val="22"/>
                <w:szCs w:val="22"/>
              </w:rPr>
              <w:t xml:space="preserve"> Those labor exchange services provided under the Wagner-Peyser Act in a local area must be described in the Memorandum of Understanding (MOU) described in </w:t>
            </w:r>
            <w:hyperlink r:id="rId47" w:history="1">
              <w:r w:rsidRPr="005565DC">
                <w:rPr>
                  <w:rStyle w:val="Hyperlink"/>
                  <w:rFonts w:asciiTheme="minorHAnsi" w:hAnsiTheme="minorHAnsi" w:cstheme="minorHAnsi"/>
                  <w:b w:val="0"/>
                  <w:bCs w:val="0"/>
                  <w:sz w:val="22"/>
                  <w:szCs w:val="22"/>
                  <w:u w:val="single"/>
                </w:rPr>
                <w:t>§ 678.500 of this chapte</w:t>
              </w:r>
              <w:r w:rsidRPr="005565DC">
                <w:rPr>
                  <w:rStyle w:val="Hyperlink"/>
                  <w:rFonts w:asciiTheme="minorHAnsi" w:hAnsiTheme="minorHAnsi" w:cstheme="minorHAnsi"/>
                  <w:b w:val="0"/>
                  <w:bCs w:val="0"/>
                  <w:sz w:val="22"/>
                  <w:szCs w:val="22"/>
                </w:rPr>
                <w:t>r</w:t>
              </w:r>
            </w:hyperlink>
            <w:r w:rsidR="00AF0F64">
              <w:t xml:space="preserve"> </w:t>
            </w:r>
            <w:hyperlink r:id="rId48" w:anchor="p-678.430(a)" w:history="1">
              <w:r w:rsidR="00AF0F64" w:rsidRPr="00AF0F64">
                <w:rPr>
                  <w:rStyle w:val="Hyperlink"/>
                  <w:rFonts w:asciiTheme="minorHAnsi" w:hAnsiTheme="minorHAnsi" w:cstheme="minorHAnsi"/>
                  <w:b w:val="0"/>
                  <w:bCs w:val="0"/>
                  <w:sz w:val="22"/>
                  <w:szCs w:val="22"/>
                  <w:u w:val="single"/>
                </w:rPr>
                <w:t>§ 678.430 Chapter V Part 678 Subpart B</w:t>
              </w:r>
              <w:r w:rsidR="00AF0F64" w:rsidRPr="00AF0F64">
                <w:rPr>
                  <w:rStyle w:val="Hyperlink"/>
                  <w:rFonts w:asciiTheme="minorHAnsi" w:hAnsiTheme="minorHAnsi" w:cstheme="minorHAnsi"/>
                  <w:b w:val="0"/>
                  <w:bCs w:val="0"/>
                  <w:sz w:val="22"/>
                  <w:szCs w:val="22"/>
                </w:rPr>
                <w:t xml:space="preserve">  </w:t>
              </w:r>
              <w:r w:rsidR="00AF0F64" w:rsidRPr="00AF0F64">
                <w:rPr>
                  <w:rStyle w:val="Hyperlink"/>
                  <w:rFonts w:asciiTheme="minorHAnsi" w:hAnsiTheme="minorHAnsi" w:cstheme="minorHAnsi"/>
                  <w:b w:val="0"/>
                  <w:bCs w:val="0"/>
                  <w:color w:val="auto"/>
                  <w:sz w:val="22"/>
                  <w:szCs w:val="22"/>
                </w:rPr>
                <w:t xml:space="preserve"> Provisions 1-11 (List of</w:t>
              </w:r>
            </w:hyperlink>
            <w:r w:rsidR="00AF0F64" w:rsidRPr="00AF0F64">
              <w:rPr>
                <w:rFonts w:asciiTheme="minorHAnsi" w:hAnsiTheme="minorHAnsi" w:cstheme="minorHAnsi"/>
                <w:b w:val="0"/>
                <w:bCs w:val="0"/>
                <w:sz w:val="22"/>
                <w:szCs w:val="22"/>
              </w:rPr>
              <w:t xml:space="preserve"> career services as identified in sec. 134(c)(2) of WIOA and includes provisions of providing job match, referrals, meaningful UI, LMI, Initial assessments items 1-11)</w:t>
            </w:r>
          </w:p>
          <w:p w14:paraId="581D6F5F" w14:textId="77777777" w:rsidR="00131224" w:rsidRDefault="00A529DF" w:rsidP="00A9439F">
            <w:pPr>
              <w:pStyle w:val="Heading2"/>
              <w:contextualSpacing/>
              <w:rPr>
                <w:rFonts w:asciiTheme="minorHAnsi" w:hAnsiTheme="minorHAnsi" w:cstheme="minorHAnsi"/>
                <w:b w:val="0"/>
                <w:bCs w:val="0"/>
                <w:sz w:val="22"/>
                <w:szCs w:val="22"/>
              </w:rPr>
            </w:pPr>
            <w:hyperlink r:id="rId49" w:history="1">
              <w:r w:rsidR="00AA6440" w:rsidRPr="00AF0F64">
                <w:rPr>
                  <w:rStyle w:val="Hyperlink"/>
                  <w:rFonts w:asciiTheme="minorHAnsi" w:hAnsiTheme="minorHAnsi" w:cstheme="minorHAnsi"/>
                  <w:sz w:val="24"/>
                  <w:szCs w:val="24"/>
                  <w:u w:val="single"/>
                </w:rPr>
                <w:t>§ 652.2</w:t>
              </w:r>
            </w:hyperlink>
            <w:r w:rsidR="00AA6440" w:rsidRPr="005565DC">
              <w:rPr>
                <w:rFonts w:asciiTheme="minorHAnsi" w:hAnsiTheme="minorHAnsi" w:cstheme="minorHAnsi"/>
                <w:sz w:val="22"/>
                <w:szCs w:val="22"/>
              </w:rPr>
              <w:t xml:space="preserve"> </w:t>
            </w:r>
            <w:r w:rsidR="00AA6440" w:rsidRPr="00AF0F64">
              <w:rPr>
                <w:rFonts w:asciiTheme="minorHAnsi" w:hAnsiTheme="minorHAnsi" w:cstheme="minorHAnsi"/>
                <w:sz w:val="22"/>
                <w:szCs w:val="22"/>
              </w:rPr>
              <w:t>Scope and purpose of the Wagner-Peyser Act Employment Service.</w:t>
            </w:r>
            <w:r w:rsidR="00AA6440" w:rsidRPr="005565DC">
              <w:rPr>
                <w:rFonts w:asciiTheme="minorHAnsi" w:hAnsiTheme="minorHAnsi" w:cstheme="minorHAnsi"/>
                <w:b w:val="0"/>
                <w:bCs w:val="0"/>
                <w:sz w:val="22"/>
                <w:szCs w:val="22"/>
              </w:rPr>
              <w:t xml:space="preserve"> </w:t>
            </w:r>
          </w:p>
          <w:p w14:paraId="32C9F9E3" w14:textId="7C7D7EBF" w:rsidR="00B25BB4" w:rsidRPr="005565DC" w:rsidRDefault="001C6347" w:rsidP="00A9439F">
            <w:pPr>
              <w:pStyle w:val="Heading2"/>
              <w:contextualSpacing/>
              <w:rPr>
                <w:rFonts w:asciiTheme="minorHAnsi" w:hAnsiTheme="minorHAnsi" w:cstheme="minorHAnsi"/>
                <w:b w:val="0"/>
                <w:bCs w:val="0"/>
                <w:sz w:val="22"/>
                <w:szCs w:val="22"/>
              </w:rPr>
            </w:pPr>
            <w:r w:rsidRPr="005565DC">
              <w:rPr>
                <w:rFonts w:asciiTheme="minorHAnsi" w:hAnsiTheme="minorHAnsi" w:cstheme="minorHAnsi"/>
                <w:b w:val="0"/>
                <w:bCs w:val="0"/>
                <w:sz w:val="22"/>
                <w:szCs w:val="22"/>
              </w:rPr>
              <w:t>The basic purpose of the ES is to improve the functioning of the nation's labor markets by bringing together individuals who are seeking employment and employers who are seeking workers.</w:t>
            </w:r>
          </w:p>
          <w:p w14:paraId="6A5C263D" w14:textId="5BBCCDA9" w:rsidR="00DA7889" w:rsidRPr="005565DC" w:rsidRDefault="00A529DF" w:rsidP="00DA7889">
            <w:pPr>
              <w:pStyle w:val="Heading2"/>
              <w:contextualSpacing/>
              <w:rPr>
                <w:rFonts w:asciiTheme="minorHAnsi" w:hAnsiTheme="minorHAnsi" w:cstheme="minorHAnsi"/>
                <w:sz w:val="22"/>
                <w:szCs w:val="22"/>
              </w:rPr>
            </w:pPr>
            <w:hyperlink r:id="rId50" w:anchor="subpart-C" w:history="1">
              <w:r w:rsidR="00DA7889" w:rsidRPr="00AF0F64">
                <w:rPr>
                  <w:rStyle w:val="Hyperlink"/>
                  <w:rFonts w:asciiTheme="minorHAnsi" w:hAnsiTheme="minorHAnsi" w:cstheme="minorHAnsi"/>
                  <w:sz w:val="24"/>
                  <w:szCs w:val="24"/>
                  <w:u w:val="single"/>
                </w:rPr>
                <w:t>§ 652.3</w:t>
              </w:r>
            </w:hyperlink>
            <w:r w:rsidR="00DA7889" w:rsidRPr="005565DC">
              <w:rPr>
                <w:rFonts w:asciiTheme="minorHAnsi" w:hAnsiTheme="minorHAnsi" w:cstheme="minorHAnsi"/>
                <w:sz w:val="22"/>
                <w:szCs w:val="22"/>
              </w:rPr>
              <w:t xml:space="preserve"> Public labor exchange services system.</w:t>
            </w:r>
          </w:p>
          <w:p w14:paraId="59199713" w14:textId="77777777" w:rsidR="00A72DF9" w:rsidRPr="005565DC" w:rsidRDefault="00A72DF9" w:rsidP="00131224">
            <w:pPr>
              <w:pStyle w:val="Heading2"/>
              <w:spacing w:before="0" w:beforeAutospacing="0" w:after="0" w:afterAutospacing="0"/>
              <w:contextualSpacing/>
              <w:rPr>
                <w:rFonts w:asciiTheme="minorHAnsi" w:hAnsiTheme="minorHAnsi" w:cstheme="minorHAnsi"/>
                <w:b w:val="0"/>
                <w:bCs w:val="0"/>
                <w:sz w:val="22"/>
                <w:szCs w:val="22"/>
              </w:rPr>
            </w:pPr>
            <w:r w:rsidRPr="00B25BB4">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a</w:t>
            </w:r>
            <w:r w:rsidRPr="005565DC">
              <w:rPr>
                <w:rFonts w:asciiTheme="minorHAnsi" w:hAnsiTheme="minorHAnsi" w:cstheme="minorHAnsi"/>
                <w:b w:val="0"/>
                <w:bCs w:val="0"/>
                <w:sz w:val="22"/>
                <w:szCs w:val="22"/>
              </w:rPr>
              <w:t xml:space="preserve">) Assist job seekers in finding employment, including promoting their familiarity with the Department's electronic tools; </w:t>
            </w:r>
          </w:p>
          <w:p w14:paraId="45C59F80" w14:textId="77777777" w:rsidR="00A72DF9" w:rsidRPr="005565DC" w:rsidRDefault="00A72DF9" w:rsidP="00131224">
            <w:pPr>
              <w:pStyle w:val="Heading2"/>
              <w:spacing w:before="0" w:beforeAutospacing="0" w:after="0" w:afterAutospacing="0"/>
              <w:contextualSpacing/>
              <w:rPr>
                <w:rFonts w:asciiTheme="minorHAnsi" w:hAnsiTheme="minorHAnsi" w:cstheme="minorHAnsi"/>
                <w:b w:val="0"/>
                <w:bCs w:val="0"/>
                <w:sz w:val="22"/>
                <w:szCs w:val="22"/>
              </w:rPr>
            </w:pPr>
            <w:r w:rsidRPr="005565DC">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b</w:t>
            </w:r>
            <w:r w:rsidRPr="005565DC">
              <w:rPr>
                <w:rFonts w:asciiTheme="minorHAnsi" w:hAnsiTheme="minorHAnsi" w:cstheme="minorHAnsi"/>
                <w:b w:val="0"/>
                <w:bCs w:val="0"/>
                <w:sz w:val="22"/>
                <w:szCs w:val="22"/>
              </w:rPr>
              <w:t xml:space="preserve">) Assist employers in filling jobs; </w:t>
            </w:r>
          </w:p>
          <w:p w14:paraId="4984C50B" w14:textId="77777777" w:rsidR="00A72DF9" w:rsidRPr="005565DC" w:rsidRDefault="00A72DF9" w:rsidP="00131224">
            <w:pPr>
              <w:pStyle w:val="Heading2"/>
              <w:spacing w:before="0" w:beforeAutospacing="0" w:after="0" w:afterAutospacing="0"/>
              <w:contextualSpacing/>
              <w:rPr>
                <w:rFonts w:asciiTheme="minorHAnsi" w:hAnsiTheme="minorHAnsi" w:cstheme="minorHAnsi"/>
                <w:b w:val="0"/>
                <w:bCs w:val="0"/>
                <w:sz w:val="22"/>
                <w:szCs w:val="22"/>
              </w:rPr>
            </w:pPr>
            <w:r w:rsidRPr="005565DC">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c</w:t>
            </w:r>
            <w:r w:rsidRPr="005565DC">
              <w:rPr>
                <w:rFonts w:asciiTheme="minorHAnsi" w:hAnsiTheme="minorHAnsi" w:cstheme="minorHAnsi"/>
                <w:b w:val="0"/>
                <w:bCs w:val="0"/>
                <w:sz w:val="22"/>
                <w:szCs w:val="22"/>
              </w:rPr>
              <w:t xml:space="preserve">) Facilitate the match between job seekers and employers; </w:t>
            </w:r>
          </w:p>
          <w:p w14:paraId="05882525" w14:textId="77777777" w:rsidR="00A72DF9" w:rsidRPr="005565DC" w:rsidRDefault="00A72DF9" w:rsidP="00131224">
            <w:pPr>
              <w:pStyle w:val="Heading2"/>
              <w:spacing w:before="0" w:beforeAutospacing="0" w:after="0" w:afterAutospacing="0"/>
              <w:contextualSpacing/>
              <w:rPr>
                <w:rFonts w:asciiTheme="minorHAnsi" w:hAnsiTheme="minorHAnsi" w:cstheme="minorHAnsi"/>
                <w:b w:val="0"/>
                <w:bCs w:val="0"/>
                <w:sz w:val="22"/>
                <w:szCs w:val="22"/>
              </w:rPr>
            </w:pPr>
            <w:r w:rsidRPr="005565DC">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d</w:t>
            </w:r>
            <w:r w:rsidRPr="005565DC">
              <w:rPr>
                <w:rFonts w:asciiTheme="minorHAnsi" w:hAnsiTheme="minorHAnsi" w:cstheme="minorHAnsi"/>
                <w:b w:val="0"/>
                <w:bCs w:val="0"/>
                <w:sz w:val="22"/>
                <w:szCs w:val="22"/>
              </w:rPr>
              <w:t xml:space="preserve">) Participate in a system for clearing labor among the States, including the use of standardized classification systems issued by the Secretary, under sec. 15 of the Wagner-Peyser Act; </w:t>
            </w:r>
          </w:p>
          <w:p w14:paraId="6AE82311" w14:textId="0E7A14D2" w:rsidR="00DD3D69" w:rsidRDefault="00A72DF9" w:rsidP="00C4705F">
            <w:pPr>
              <w:pStyle w:val="Heading2"/>
              <w:spacing w:before="0" w:beforeAutospacing="0" w:after="0" w:afterAutospacing="0"/>
              <w:contextualSpacing/>
              <w:rPr>
                <w:rFonts w:asciiTheme="minorHAnsi" w:hAnsiTheme="minorHAnsi" w:cstheme="minorHAnsi"/>
                <w:b w:val="0"/>
                <w:bCs w:val="0"/>
                <w:sz w:val="22"/>
                <w:szCs w:val="22"/>
              </w:rPr>
            </w:pPr>
            <w:r w:rsidRPr="005565DC">
              <w:rPr>
                <w:rFonts w:asciiTheme="minorHAnsi" w:hAnsiTheme="minorHAnsi" w:cstheme="minorHAnsi"/>
                <w:b w:val="0"/>
                <w:bCs w:val="0"/>
                <w:sz w:val="22"/>
                <w:szCs w:val="22"/>
              </w:rPr>
              <w:t>(</w:t>
            </w:r>
            <w:r w:rsidRPr="005565DC">
              <w:rPr>
                <w:rFonts w:asciiTheme="minorHAnsi" w:eastAsiaTheme="minorEastAsia" w:hAnsiTheme="minorHAnsi" w:cstheme="minorHAnsi"/>
                <w:b w:val="0"/>
                <w:bCs w:val="0"/>
                <w:sz w:val="22"/>
                <w:szCs w:val="22"/>
              </w:rPr>
              <w:t>e</w:t>
            </w:r>
            <w:r w:rsidRPr="005565DC">
              <w:rPr>
                <w:rFonts w:asciiTheme="minorHAnsi" w:hAnsiTheme="minorHAnsi" w:cstheme="minorHAnsi"/>
                <w:b w:val="0"/>
                <w:bCs w:val="0"/>
                <w:sz w:val="22"/>
                <w:szCs w:val="22"/>
              </w:rPr>
              <w:t>) Meet the work test requirements of the State unemployment compensation system; and (</w:t>
            </w:r>
            <w:r w:rsidRPr="005565DC">
              <w:rPr>
                <w:rFonts w:asciiTheme="minorHAnsi" w:eastAsiaTheme="minorEastAsia" w:hAnsiTheme="minorHAnsi" w:cstheme="minorHAnsi"/>
                <w:b w:val="0"/>
                <w:bCs w:val="0"/>
                <w:sz w:val="22"/>
                <w:szCs w:val="22"/>
              </w:rPr>
              <w:t>f</w:t>
            </w:r>
            <w:r w:rsidRPr="005565DC">
              <w:rPr>
                <w:rFonts w:asciiTheme="minorHAnsi" w:hAnsiTheme="minorHAnsi" w:cstheme="minorHAnsi"/>
                <w:b w:val="0"/>
                <w:bCs w:val="0"/>
                <w:sz w:val="22"/>
                <w:szCs w:val="22"/>
              </w:rPr>
              <w:t xml:space="preserve">) Provide labor exchange services as identified in </w:t>
            </w:r>
            <w:hyperlink r:id="rId51" w:anchor="p-678.430(a)" w:history="1">
              <w:r w:rsidRPr="005565DC">
                <w:rPr>
                  <w:rFonts w:asciiTheme="minorHAnsi" w:hAnsiTheme="minorHAnsi" w:cstheme="minorHAnsi"/>
                  <w:b w:val="0"/>
                  <w:bCs w:val="0"/>
                  <w:sz w:val="22"/>
                  <w:szCs w:val="22"/>
                </w:rPr>
                <w:t>§ 678.430(a) of this chapter</w:t>
              </w:r>
            </w:hyperlink>
            <w:r w:rsidRPr="000F037C">
              <w:rPr>
                <w:rFonts w:asciiTheme="minorHAnsi" w:hAnsiTheme="minorHAnsi" w:cstheme="minorHAnsi"/>
                <w:b w:val="0"/>
                <w:bCs w:val="0"/>
                <w:sz w:val="22"/>
                <w:szCs w:val="22"/>
              </w:rPr>
              <w:t xml:space="preserve">, </w:t>
            </w:r>
            <w:hyperlink w:anchor="_Wagner-Peyser_Act_of" w:history="1">
              <w:r w:rsidRPr="000F037C">
                <w:rPr>
                  <w:rStyle w:val="Hyperlink"/>
                  <w:rFonts w:asciiTheme="minorHAnsi" w:hAnsiTheme="minorHAnsi" w:cstheme="minorHAnsi"/>
                  <w:b w:val="0"/>
                  <w:bCs w:val="0"/>
                  <w:color w:val="auto"/>
                  <w:sz w:val="22"/>
                  <w:szCs w:val="22"/>
                </w:rPr>
                <w:t>sec. 7(a) of the Wagner-Peyser Act</w:t>
              </w:r>
              <w:r w:rsidRPr="000F037C">
                <w:rPr>
                  <w:rStyle w:val="Hyperlink"/>
                  <w:rFonts w:asciiTheme="minorHAnsi" w:hAnsiTheme="minorHAnsi" w:cstheme="minorHAnsi"/>
                  <w:b w:val="0"/>
                  <w:bCs w:val="0"/>
                  <w:i/>
                  <w:iCs/>
                  <w:color w:val="auto"/>
                  <w:sz w:val="22"/>
                  <w:szCs w:val="22"/>
                </w:rPr>
                <w:t>,</w:t>
              </w:r>
            </w:hyperlink>
            <w:r w:rsidRPr="005565DC">
              <w:rPr>
                <w:rFonts w:asciiTheme="minorHAnsi" w:hAnsiTheme="minorHAnsi" w:cstheme="minorHAnsi"/>
                <w:b w:val="0"/>
                <w:bCs w:val="0"/>
                <w:sz w:val="22"/>
                <w:szCs w:val="22"/>
              </w:rPr>
              <w:t xml:space="preserve"> and sec. 134(c)(2)(A)(iv) of WIOA. Labor Exchange Services  </w:t>
            </w:r>
            <w:hyperlink r:id="rId52" w:anchor="p-678.430(a)" w:history="1">
              <w:r w:rsidRPr="005565DC">
                <w:rPr>
                  <w:rFonts w:asciiTheme="minorHAnsi" w:hAnsiTheme="minorHAnsi" w:cstheme="minorHAnsi"/>
                  <w:b w:val="0"/>
                  <w:bCs w:val="0"/>
                  <w:sz w:val="22"/>
                  <w:szCs w:val="22"/>
                </w:rPr>
                <w:t xml:space="preserve">§ 678.430 Chapter V Part 678 Subpart B   </w:t>
              </w:r>
            </w:hyperlink>
            <w:r w:rsidRPr="005565DC">
              <w:rPr>
                <w:rFonts w:asciiTheme="minorHAnsi" w:hAnsiTheme="minorHAnsi" w:cstheme="minorHAnsi"/>
                <w:b w:val="0"/>
                <w:bCs w:val="0"/>
                <w:sz w:val="22"/>
                <w:szCs w:val="22"/>
              </w:rPr>
              <w:t>Provisions 1-11 (List of career services as identified in sec. 134(c)(2) of WIOA and includes provisions of providing job match, referrals, meaningful UI, LMI, Initial assessments items 1-11)</w:t>
            </w:r>
          </w:p>
          <w:p w14:paraId="5D8FD94E" w14:textId="184B1E44" w:rsidR="00DD3D69" w:rsidRDefault="00A529DF" w:rsidP="00BD2D1D">
            <w:pPr>
              <w:pStyle w:val="Heading2"/>
              <w:widowControl w:val="0"/>
              <w:contextualSpacing/>
              <w:rPr>
                <w:rFonts w:asciiTheme="majorHAnsi" w:hAnsiTheme="majorHAnsi" w:cstheme="majorHAnsi"/>
                <w:color w:val="333333"/>
                <w:sz w:val="24"/>
                <w:szCs w:val="24"/>
                <w:u w:val="single"/>
                <w:shd w:val="clear" w:color="auto" w:fill="FFFFFF"/>
              </w:rPr>
            </w:pPr>
            <w:hyperlink r:id="rId53" w:history="1">
              <w:r w:rsidR="00131224" w:rsidRPr="00131224">
                <w:rPr>
                  <w:rStyle w:val="Hyperlink"/>
                  <w:rFonts w:asciiTheme="majorHAnsi" w:hAnsiTheme="majorHAnsi" w:cstheme="majorHAnsi"/>
                  <w:sz w:val="24"/>
                  <w:szCs w:val="24"/>
                  <w:u w:val="single"/>
                  <w:shd w:val="clear" w:color="auto" w:fill="FFFFFF"/>
                </w:rPr>
                <w:t>20 CFR 653 Subpart B</w:t>
              </w:r>
            </w:hyperlink>
            <w:r w:rsidR="00DD3D69" w:rsidRPr="00131224">
              <w:rPr>
                <w:rFonts w:asciiTheme="majorHAnsi" w:hAnsiTheme="majorHAnsi" w:cstheme="majorHAnsi"/>
                <w:color w:val="333333"/>
                <w:sz w:val="24"/>
                <w:szCs w:val="24"/>
                <w:u w:val="single"/>
                <w:shd w:val="clear" w:color="auto" w:fill="FFFFFF"/>
              </w:rPr>
              <w:t xml:space="preserve"> </w:t>
            </w:r>
          </w:p>
          <w:p w14:paraId="14D4CA2F" w14:textId="18E31D0A" w:rsidR="00131224" w:rsidRPr="00131224" w:rsidRDefault="00131224" w:rsidP="00BD2D1D">
            <w:pPr>
              <w:pStyle w:val="Heading2"/>
              <w:widowControl w:val="0"/>
              <w:contextualSpacing/>
              <w:rPr>
                <w:rFonts w:asciiTheme="minorHAnsi" w:hAnsiTheme="minorHAnsi" w:cstheme="minorHAnsi"/>
                <w:color w:val="333333"/>
                <w:sz w:val="24"/>
                <w:szCs w:val="24"/>
                <w:shd w:val="clear" w:color="auto" w:fill="FFFFFF"/>
              </w:rPr>
            </w:pPr>
            <w:r w:rsidRPr="00131224">
              <w:rPr>
                <w:rFonts w:asciiTheme="minorHAnsi" w:hAnsiTheme="minorHAnsi" w:cstheme="minorHAnsi"/>
                <w:color w:val="333333"/>
                <w:sz w:val="24"/>
                <w:szCs w:val="24"/>
                <w:shd w:val="clear" w:color="auto" w:fill="FFFFFF"/>
              </w:rPr>
              <w:t>Services for Migrant and Seasonal Farmworkers (MSFW)</w:t>
            </w:r>
          </w:p>
          <w:p w14:paraId="3D922469" w14:textId="00BD4607" w:rsidR="00DD3D69" w:rsidRDefault="00A529DF" w:rsidP="00BD2D1D">
            <w:pPr>
              <w:pStyle w:val="Heading2"/>
              <w:widowControl w:val="0"/>
              <w:contextualSpacing/>
              <w:rPr>
                <w:rFonts w:asciiTheme="minorHAnsi" w:hAnsiTheme="minorHAnsi" w:cstheme="minorHAnsi"/>
                <w:sz w:val="24"/>
                <w:szCs w:val="24"/>
              </w:rPr>
            </w:pPr>
            <w:hyperlink r:id="rId54" w:anchor=":~:text=134(c)(2).-,%C2%A7%20653.101,-Provision%20of%20services" w:history="1">
              <w:r w:rsidR="002176D8" w:rsidRPr="000B50F1">
                <w:rPr>
                  <w:rStyle w:val="Hyperlink"/>
                  <w:rFonts w:asciiTheme="minorHAnsi" w:hAnsiTheme="minorHAnsi" w:cstheme="minorHAnsi"/>
                  <w:sz w:val="24"/>
                  <w:szCs w:val="24"/>
                  <w:u w:val="single"/>
                </w:rPr>
                <w:t>§ 653.101</w:t>
              </w:r>
            </w:hyperlink>
            <w:r w:rsidR="002176D8" w:rsidRPr="00131224">
              <w:rPr>
                <w:rFonts w:asciiTheme="minorHAnsi" w:hAnsiTheme="minorHAnsi" w:cstheme="minorHAnsi"/>
                <w:sz w:val="24"/>
                <w:szCs w:val="24"/>
              </w:rPr>
              <w:t xml:space="preserve"> Provision of services to migrant and seasonal farmworkers.</w:t>
            </w:r>
          </w:p>
          <w:p w14:paraId="7834392E" w14:textId="07BDFC0F" w:rsidR="00131224" w:rsidRPr="00131224" w:rsidRDefault="00131224" w:rsidP="00BD2D1D">
            <w:pPr>
              <w:pStyle w:val="Heading2"/>
              <w:widowControl w:val="0"/>
              <w:contextualSpacing/>
              <w:rPr>
                <w:rFonts w:asciiTheme="minorHAnsi" w:hAnsiTheme="minorHAnsi" w:cstheme="minorHAnsi"/>
                <w:b w:val="0"/>
                <w:bCs w:val="0"/>
                <w:sz w:val="24"/>
                <w:szCs w:val="24"/>
              </w:rPr>
            </w:pPr>
            <w:r w:rsidRPr="00131224">
              <w:rPr>
                <w:rFonts w:asciiTheme="minorHAnsi" w:hAnsiTheme="minorHAnsi" w:cstheme="minorHAnsi"/>
                <w:b w:val="0"/>
                <w:bCs w:val="0"/>
                <w:sz w:val="22"/>
                <w:szCs w:val="22"/>
              </w:rPr>
              <w:t>Each one-stop center must offer MSFWs the full range of career and supportive services, benefits and protections, and job and training referral services as are provided to non-MSFWs. In providing such services, the one-stop centers must consider and be sensitive to the preferences, needs, and skills of individual MSFWs and the availability of job and training opportunities</w:t>
            </w:r>
            <w:r w:rsidRPr="00131224">
              <w:rPr>
                <w:rFonts w:asciiTheme="minorHAnsi" w:hAnsiTheme="minorHAnsi" w:cstheme="minorHAnsi"/>
                <w:b w:val="0"/>
                <w:bCs w:val="0"/>
                <w:sz w:val="24"/>
                <w:szCs w:val="24"/>
              </w:rPr>
              <w:t>.</w:t>
            </w:r>
          </w:p>
          <w:p w14:paraId="4AE4824F" w14:textId="2C0197FA" w:rsidR="009D0B92" w:rsidRDefault="00A529DF" w:rsidP="00BD2D1D">
            <w:pPr>
              <w:pStyle w:val="Heading2"/>
              <w:widowControl w:val="0"/>
              <w:contextualSpacing/>
              <w:rPr>
                <w:rFonts w:asciiTheme="minorHAnsi" w:hAnsiTheme="minorHAnsi" w:cstheme="minorHAnsi"/>
                <w:sz w:val="24"/>
                <w:szCs w:val="24"/>
              </w:rPr>
            </w:pPr>
            <w:hyperlink r:id="rId55" w:anchor=":~:text=%C2%A7%20653.102%20Job%20information." w:history="1">
              <w:r w:rsidR="009D0B92" w:rsidRPr="00131224">
                <w:rPr>
                  <w:rStyle w:val="Hyperlink"/>
                  <w:rFonts w:asciiTheme="minorHAnsi" w:hAnsiTheme="minorHAnsi" w:cstheme="minorHAnsi"/>
                  <w:sz w:val="24"/>
                  <w:szCs w:val="24"/>
                  <w:u w:val="single"/>
                </w:rPr>
                <w:t>§ 653.102</w:t>
              </w:r>
            </w:hyperlink>
            <w:r w:rsidR="009D0B92" w:rsidRPr="00131224">
              <w:rPr>
                <w:rFonts w:asciiTheme="minorHAnsi" w:hAnsiTheme="minorHAnsi" w:cstheme="minorHAnsi"/>
                <w:sz w:val="24"/>
                <w:szCs w:val="24"/>
              </w:rPr>
              <w:t xml:space="preserve"> Job information.</w:t>
            </w:r>
          </w:p>
          <w:p w14:paraId="543019D3" w14:textId="6629D482" w:rsidR="00131224" w:rsidRPr="00131224" w:rsidRDefault="00131224" w:rsidP="00BD2D1D">
            <w:pPr>
              <w:pStyle w:val="Heading2"/>
              <w:widowControl w:val="0"/>
              <w:contextualSpacing/>
              <w:rPr>
                <w:rFonts w:asciiTheme="minorHAnsi" w:hAnsiTheme="minorHAnsi" w:cstheme="minorHAnsi"/>
                <w:b w:val="0"/>
                <w:bCs w:val="0"/>
                <w:sz w:val="22"/>
                <w:szCs w:val="22"/>
              </w:rPr>
            </w:pPr>
            <w:r w:rsidRPr="00131224">
              <w:rPr>
                <w:rFonts w:asciiTheme="minorHAnsi" w:hAnsiTheme="minorHAnsi" w:cstheme="minorHAnsi"/>
                <w:b w:val="0"/>
                <w:bCs w:val="0"/>
                <w:sz w:val="22"/>
                <w:szCs w:val="22"/>
              </w:rPr>
              <w:t>All SWAs must make job order information conspicuous and available to MSFWs by all reasonable means. Such information must, at minimum, be available through internet labor exchange systems and through the one-stop centers. One-stop centers must provide adequate assistance to MSFWs to access job order information easily and efficiently. In designated significant MSFW multilingual offices, such assistance must be provided to MSFWs in their native language, whenever requested or necessary.</w:t>
            </w:r>
          </w:p>
          <w:p w14:paraId="0373C34F" w14:textId="21E99ECA" w:rsidR="005F653D" w:rsidRPr="005F653D" w:rsidRDefault="00A529DF" w:rsidP="005F653D">
            <w:pPr>
              <w:pStyle w:val="Heading2"/>
              <w:widowControl w:val="0"/>
              <w:contextualSpacing/>
              <w:rPr>
                <w:rFonts w:asciiTheme="minorHAnsi" w:hAnsiTheme="minorHAnsi" w:cstheme="minorHAnsi"/>
                <w:sz w:val="24"/>
                <w:szCs w:val="24"/>
              </w:rPr>
            </w:pPr>
            <w:hyperlink r:id="rId56" w:anchor=":~:text=%C2%A7%20653.103%20Process%20for%20migrant%20and%20seasonal%20farmworkers%20to%20participate%20in%20workforce%20development%20activities." w:history="1">
              <w:r w:rsidR="009D0B92" w:rsidRPr="00131224">
                <w:rPr>
                  <w:rStyle w:val="Hyperlink"/>
                  <w:rFonts w:asciiTheme="minorHAnsi" w:hAnsiTheme="minorHAnsi" w:cstheme="minorHAnsi"/>
                  <w:sz w:val="24"/>
                  <w:szCs w:val="24"/>
                  <w:u w:val="single"/>
                </w:rPr>
                <w:t>§ 653.103</w:t>
              </w:r>
            </w:hyperlink>
            <w:r w:rsidR="009D0B92" w:rsidRPr="00131224">
              <w:rPr>
                <w:rFonts w:asciiTheme="minorHAnsi" w:hAnsiTheme="minorHAnsi" w:cstheme="minorHAnsi"/>
                <w:sz w:val="24"/>
                <w:szCs w:val="24"/>
              </w:rPr>
              <w:t xml:space="preserve"> Process for migrant and seasonal farmworkers to participate in workforce development activities.</w:t>
            </w:r>
          </w:p>
          <w:p w14:paraId="4026FA99" w14:textId="3B0444AE" w:rsidR="005F653D" w:rsidRPr="005F653D" w:rsidRDefault="005F653D" w:rsidP="005F653D">
            <w:pPr>
              <w:pStyle w:val="Heading2"/>
              <w:widowControl w:val="0"/>
              <w:contextualSpacing/>
              <w:rPr>
                <w:rFonts w:asciiTheme="minorHAnsi" w:hAnsiTheme="minorHAnsi" w:cstheme="minorHAnsi"/>
                <w:b w:val="0"/>
                <w:bCs w:val="0"/>
                <w:sz w:val="22"/>
                <w:szCs w:val="22"/>
              </w:rPr>
            </w:pPr>
            <w:r w:rsidRPr="005F653D">
              <w:rPr>
                <w:rFonts w:asciiTheme="minorHAnsi" w:hAnsiTheme="minorHAnsi" w:cstheme="minorHAnsi"/>
                <w:b w:val="0"/>
                <w:bCs w:val="0"/>
                <w:sz w:val="22"/>
                <w:szCs w:val="22"/>
              </w:rPr>
              <w:t xml:space="preserve">(a) Each one-stop center must determine whether participants are MSFWs as defined at § 651.10 of this chapter. </w:t>
            </w:r>
          </w:p>
          <w:p w14:paraId="735C6430" w14:textId="08B82A49" w:rsidR="005F653D" w:rsidRPr="005F653D" w:rsidRDefault="005F653D" w:rsidP="005F653D">
            <w:pPr>
              <w:pStyle w:val="Heading2"/>
              <w:widowControl w:val="0"/>
              <w:contextualSpacing/>
              <w:rPr>
                <w:rFonts w:asciiTheme="minorHAnsi" w:hAnsiTheme="minorHAnsi" w:cstheme="minorHAnsi"/>
                <w:b w:val="0"/>
                <w:bCs w:val="0"/>
                <w:sz w:val="22"/>
                <w:szCs w:val="22"/>
              </w:rPr>
            </w:pPr>
            <w:r w:rsidRPr="005F653D">
              <w:rPr>
                <w:rFonts w:asciiTheme="minorHAnsi" w:hAnsiTheme="minorHAnsi" w:cstheme="minorHAnsi"/>
                <w:b w:val="0"/>
                <w:bCs w:val="0"/>
                <w:sz w:val="22"/>
                <w:szCs w:val="22"/>
              </w:rPr>
              <w:t xml:space="preserve">(b) All SWAs will ensure that MSFWs who are English Language Learners (ELLs) receive, free of charge, the language assistance necessary to afford them meaningful </w:t>
            </w:r>
            <w:r w:rsidRPr="005F653D">
              <w:rPr>
                <w:rFonts w:asciiTheme="minorHAnsi" w:hAnsiTheme="minorHAnsi" w:cstheme="minorHAnsi"/>
                <w:b w:val="0"/>
                <w:bCs w:val="0"/>
                <w:sz w:val="22"/>
                <w:szCs w:val="22"/>
              </w:rPr>
              <w:lastRenderedPageBreak/>
              <w:t xml:space="preserve">access to the programs, services, and information offered by the one-stop centers. </w:t>
            </w:r>
          </w:p>
          <w:p w14:paraId="51EF86A3" w14:textId="0BC51D53" w:rsidR="005F653D" w:rsidRPr="005F653D" w:rsidRDefault="005F653D" w:rsidP="005F653D">
            <w:pPr>
              <w:pStyle w:val="Heading2"/>
              <w:widowControl w:val="0"/>
              <w:contextualSpacing/>
              <w:rPr>
                <w:rFonts w:asciiTheme="minorHAnsi" w:hAnsiTheme="minorHAnsi" w:cstheme="minorHAnsi"/>
                <w:b w:val="0"/>
                <w:bCs w:val="0"/>
                <w:sz w:val="22"/>
                <w:szCs w:val="22"/>
              </w:rPr>
            </w:pPr>
            <w:r w:rsidRPr="005F653D">
              <w:rPr>
                <w:rFonts w:asciiTheme="minorHAnsi" w:hAnsiTheme="minorHAnsi" w:cstheme="minorHAnsi"/>
                <w:b w:val="0"/>
                <w:bCs w:val="0"/>
                <w:sz w:val="22"/>
                <w:szCs w:val="22"/>
              </w:rPr>
              <w:t xml:space="preserve">(c) One-stop centers must provide </w:t>
            </w:r>
            <w:r w:rsidR="00526170" w:rsidRPr="005F653D">
              <w:rPr>
                <w:rFonts w:asciiTheme="minorHAnsi" w:hAnsiTheme="minorHAnsi" w:cstheme="minorHAnsi"/>
                <w:b w:val="0"/>
                <w:bCs w:val="0"/>
                <w:sz w:val="22"/>
                <w:szCs w:val="22"/>
              </w:rPr>
              <w:t>MSFWs with</w:t>
            </w:r>
            <w:r w:rsidRPr="005F653D">
              <w:rPr>
                <w:rFonts w:asciiTheme="minorHAnsi" w:hAnsiTheme="minorHAnsi" w:cstheme="minorHAnsi"/>
                <w:b w:val="0"/>
                <w:bCs w:val="0"/>
                <w:sz w:val="22"/>
                <w:szCs w:val="22"/>
              </w:rPr>
              <w:t xml:space="preserve"> a list of available </w:t>
            </w:r>
            <w:proofErr w:type="gramStart"/>
            <w:r w:rsidRPr="005F653D">
              <w:rPr>
                <w:rFonts w:asciiTheme="minorHAnsi" w:hAnsiTheme="minorHAnsi" w:cstheme="minorHAnsi"/>
                <w:b w:val="0"/>
                <w:bCs w:val="0"/>
                <w:sz w:val="22"/>
                <w:szCs w:val="22"/>
              </w:rPr>
              <w:t>career</w:t>
            </w:r>
            <w:proofErr w:type="gramEnd"/>
            <w:r w:rsidRPr="005F653D">
              <w:rPr>
                <w:rFonts w:asciiTheme="minorHAnsi" w:hAnsiTheme="minorHAnsi" w:cstheme="minorHAnsi"/>
                <w:b w:val="0"/>
                <w:bCs w:val="0"/>
                <w:sz w:val="22"/>
                <w:szCs w:val="22"/>
              </w:rPr>
              <w:t xml:space="preserve"> and supportive services in their native language. </w:t>
            </w:r>
          </w:p>
          <w:p w14:paraId="38B27884" w14:textId="6D0D0529" w:rsidR="005F653D" w:rsidRPr="005F653D" w:rsidRDefault="005F653D" w:rsidP="005F653D">
            <w:pPr>
              <w:pStyle w:val="Heading2"/>
              <w:widowControl w:val="0"/>
              <w:contextualSpacing/>
              <w:rPr>
                <w:rFonts w:asciiTheme="minorHAnsi" w:hAnsiTheme="minorHAnsi" w:cstheme="minorHAnsi"/>
                <w:b w:val="0"/>
                <w:bCs w:val="0"/>
                <w:sz w:val="22"/>
                <w:szCs w:val="22"/>
              </w:rPr>
            </w:pPr>
            <w:r w:rsidRPr="005F653D">
              <w:rPr>
                <w:rFonts w:asciiTheme="minorHAnsi" w:hAnsiTheme="minorHAnsi" w:cstheme="minorHAnsi"/>
                <w:b w:val="0"/>
                <w:bCs w:val="0"/>
                <w:sz w:val="22"/>
                <w:szCs w:val="22"/>
              </w:rPr>
              <w:t xml:space="preserve">(d) One-stop centers must </w:t>
            </w:r>
            <w:proofErr w:type="gramStart"/>
            <w:r w:rsidRPr="005F653D">
              <w:rPr>
                <w:rFonts w:asciiTheme="minorHAnsi" w:hAnsiTheme="minorHAnsi" w:cstheme="minorHAnsi"/>
                <w:b w:val="0"/>
                <w:bCs w:val="0"/>
                <w:sz w:val="22"/>
                <w:szCs w:val="22"/>
              </w:rPr>
              <w:t>refer</w:t>
            </w:r>
            <w:proofErr w:type="gramEnd"/>
            <w:r w:rsidRPr="005F653D">
              <w:rPr>
                <w:rFonts w:asciiTheme="minorHAnsi" w:hAnsiTheme="minorHAnsi" w:cstheme="minorHAnsi"/>
                <w:b w:val="0"/>
                <w:bCs w:val="0"/>
                <w:sz w:val="22"/>
                <w:szCs w:val="22"/>
              </w:rPr>
              <w:t xml:space="preserve"> and/or register MSFWs for services, as appropriate, if the MSFW is interested in obtaining such services.</w:t>
            </w:r>
          </w:p>
          <w:p w14:paraId="1A785836" w14:textId="42C4655B" w:rsidR="005F653D" w:rsidRDefault="00A529DF" w:rsidP="005F653D">
            <w:pPr>
              <w:pStyle w:val="Heading2"/>
              <w:widowControl w:val="0"/>
              <w:contextualSpacing/>
              <w:rPr>
                <w:rFonts w:asciiTheme="minorHAnsi" w:hAnsiTheme="minorHAnsi" w:cstheme="minorHAnsi"/>
                <w:sz w:val="24"/>
                <w:szCs w:val="24"/>
              </w:rPr>
            </w:pPr>
            <w:hyperlink r:id="rId57" w:anchor=":~:text=653.107%20Outreach%20and%20Agricultural%20Outreach%20Plan." w:history="1">
              <w:r w:rsidR="000B50F1">
                <w:rPr>
                  <w:rStyle w:val="Hyperlink"/>
                  <w:rFonts w:asciiTheme="minorHAnsi" w:hAnsiTheme="minorHAnsi" w:cstheme="minorHAnsi"/>
                  <w:sz w:val="24"/>
                  <w:szCs w:val="24"/>
                  <w:u w:val="single"/>
                </w:rPr>
                <w:t>§ 653.107 a-d</w:t>
              </w:r>
            </w:hyperlink>
            <w:r w:rsidR="009D0B92" w:rsidRPr="00131224">
              <w:rPr>
                <w:rFonts w:asciiTheme="minorHAnsi" w:hAnsiTheme="minorHAnsi" w:cstheme="minorHAnsi"/>
                <w:sz w:val="24"/>
                <w:szCs w:val="24"/>
              </w:rPr>
              <w:t xml:space="preserve"> Outreach and Agricultural Outreach Plan</w:t>
            </w:r>
          </w:p>
          <w:p w14:paraId="2A114A2C" w14:textId="06674A86" w:rsidR="000B50F1" w:rsidRPr="00C85D36" w:rsidRDefault="000B50F1" w:rsidP="000B50F1">
            <w:pPr>
              <w:pStyle w:val="Heading2"/>
              <w:widowControl w:val="0"/>
              <w:numPr>
                <w:ilvl w:val="0"/>
                <w:numId w:val="40"/>
              </w:numPr>
              <w:contextualSpacing/>
              <w:rPr>
                <w:rFonts w:asciiTheme="minorHAnsi" w:hAnsiTheme="minorHAnsi" w:cstheme="minorHAnsi"/>
                <w:b w:val="0"/>
                <w:bCs w:val="0"/>
                <w:sz w:val="22"/>
                <w:szCs w:val="22"/>
              </w:rPr>
            </w:pPr>
            <w:r w:rsidRPr="00C85D36">
              <w:rPr>
                <w:rFonts w:asciiTheme="minorHAnsi" w:hAnsiTheme="minorHAnsi" w:cstheme="minorHAnsi"/>
                <w:b w:val="0"/>
                <w:bCs w:val="0"/>
                <w:sz w:val="22"/>
                <w:szCs w:val="22"/>
              </w:rPr>
              <w:t>State Workforce Agency (SWA) outreach responsibilities</w:t>
            </w:r>
          </w:p>
          <w:p w14:paraId="52105615" w14:textId="67B48B8E" w:rsidR="000B50F1" w:rsidRPr="00C85D36" w:rsidRDefault="000B50F1" w:rsidP="000B50F1">
            <w:pPr>
              <w:pStyle w:val="Heading2"/>
              <w:widowControl w:val="0"/>
              <w:numPr>
                <w:ilvl w:val="0"/>
                <w:numId w:val="40"/>
              </w:numPr>
              <w:contextualSpacing/>
              <w:rPr>
                <w:rFonts w:asciiTheme="minorHAnsi" w:hAnsiTheme="minorHAnsi" w:cstheme="minorHAnsi"/>
                <w:b w:val="0"/>
                <w:bCs w:val="0"/>
                <w:sz w:val="22"/>
                <w:szCs w:val="22"/>
              </w:rPr>
            </w:pPr>
            <w:r w:rsidRPr="00C85D36">
              <w:rPr>
                <w:rFonts w:asciiTheme="minorHAnsi" w:hAnsiTheme="minorHAnsi" w:cstheme="minorHAnsi"/>
                <w:b w:val="0"/>
                <w:bCs w:val="0"/>
                <w:sz w:val="22"/>
                <w:szCs w:val="22"/>
              </w:rPr>
              <w:t>Outreach Staff Responsibilities</w:t>
            </w:r>
          </w:p>
          <w:p w14:paraId="77867C33" w14:textId="6377817E" w:rsidR="000B50F1" w:rsidRPr="00C85D36" w:rsidRDefault="000B50F1" w:rsidP="000B50F1">
            <w:pPr>
              <w:pStyle w:val="Heading2"/>
              <w:widowControl w:val="0"/>
              <w:numPr>
                <w:ilvl w:val="0"/>
                <w:numId w:val="40"/>
              </w:numPr>
              <w:contextualSpacing/>
              <w:rPr>
                <w:rFonts w:asciiTheme="minorHAnsi" w:hAnsiTheme="minorHAnsi" w:cstheme="minorHAnsi"/>
                <w:b w:val="0"/>
                <w:bCs w:val="0"/>
                <w:sz w:val="22"/>
                <w:szCs w:val="22"/>
              </w:rPr>
            </w:pPr>
            <w:r w:rsidRPr="00C85D36">
              <w:rPr>
                <w:rFonts w:asciiTheme="minorHAnsi" w:hAnsiTheme="minorHAnsi" w:cstheme="minorHAnsi"/>
                <w:b w:val="0"/>
                <w:bCs w:val="0"/>
                <w:sz w:val="22"/>
                <w:szCs w:val="22"/>
              </w:rPr>
              <w:t>ES Office Outreach Responsibilities</w:t>
            </w:r>
          </w:p>
          <w:p w14:paraId="3D958FAC" w14:textId="4EA176F9" w:rsidR="000B50F1" w:rsidRPr="00C85D36" w:rsidRDefault="000B50F1" w:rsidP="000B50F1">
            <w:pPr>
              <w:pStyle w:val="Heading2"/>
              <w:widowControl w:val="0"/>
              <w:numPr>
                <w:ilvl w:val="0"/>
                <w:numId w:val="40"/>
              </w:numPr>
              <w:contextualSpacing/>
              <w:rPr>
                <w:rFonts w:asciiTheme="minorHAnsi" w:hAnsiTheme="minorHAnsi" w:cstheme="minorHAnsi"/>
                <w:b w:val="0"/>
                <w:bCs w:val="0"/>
                <w:sz w:val="22"/>
                <w:szCs w:val="22"/>
              </w:rPr>
            </w:pPr>
            <w:r w:rsidRPr="00C85D36">
              <w:rPr>
                <w:rFonts w:asciiTheme="minorHAnsi" w:hAnsiTheme="minorHAnsi" w:cstheme="minorHAnsi"/>
                <w:b w:val="0"/>
                <w:bCs w:val="0"/>
                <w:sz w:val="22"/>
                <w:szCs w:val="22"/>
              </w:rPr>
              <w:t>State Agricultural Outreach Plan (AOP)</w:t>
            </w:r>
          </w:p>
          <w:p w14:paraId="2AAEB647" w14:textId="1EE59878" w:rsidR="00B5518C" w:rsidRPr="001B4821" w:rsidRDefault="00A529DF" w:rsidP="00B5518C">
            <w:pPr>
              <w:pStyle w:val="Heading2"/>
              <w:widowControl w:val="0"/>
              <w:contextualSpacing/>
              <w:rPr>
                <w:rFonts w:asciiTheme="minorHAnsi" w:hAnsiTheme="minorHAnsi" w:cstheme="minorHAnsi"/>
                <w:sz w:val="22"/>
                <w:szCs w:val="22"/>
              </w:rPr>
            </w:pPr>
            <w:hyperlink r:id="rId58" w:history="1">
              <w:r w:rsidR="00925D3D" w:rsidRPr="00925D3D">
                <w:rPr>
                  <w:rStyle w:val="Hyperlink"/>
                  <w:rFonts w:asciiTheme="minorHAnsi" w:hAnsiTheme="minorHAnsi" w:cstheme="minorHAnsi"/>
                  <w:sz w:val="22"/>
                  <w:szCs w:val="22"/>
                  <w:u w:val="single"/>
                </w:rPr>
                <w:t>Federal Register / Vol. 81, No. 161 / Friday, August 19, 2016</w:t>
              </w:r>
            </w:hyperlink>
            <w:r w:rsidR="00925D3D" w:rsidRPr="00925D3D">
              <w:rPr>
                <w:rFonts w:asciiTheme="minorHAnsi" w:hAnsiTheme="minorHAnsi" w:cstheme="minorHAnsi"/>
                <w:b w:val="0"/>
                <w:bCs w:val="0"/>
                <w:sz w:val="22"/>
                <w:szCs w:val="22"/>
              </w:rPr>
              <w:t xml:space="preserve"> </w:t>
            </w:r>
            <w:r w:rsidR="001B4821">
              <w:rPr>
                <w:rFonts w:asciiTheme="minorHAnsi" w:hAnsiTheme="minorHAnsi" w:cstheme="minorHAnsi"/>
                <w:sz w:val="22"/>
                <w:szCs w:val="22"/>
              </w:rPr>
              <w:t xml:space="preserve">Page </w:t>
            </w:r>
            <w:r w:rsidR="001B4821" w:rsidRPr="001B4821">
              <w:rPr>
                <w:rFonts w:asciiTheme="minorHAnsi" w:hAnsiTheme="minorHAnsi" w:cstheme="minorHAnsi"/>
                <w:sz w:val="22"/>
                <w:szCs w:val="22"/>
              </w:rPr>
              <w:t>56273</w:t>
            </w:r>
            <w:r w:rsidR="001B4821">
              <w:rPr>
                <w:rFonts w:asciiTheme="minorHAnsi" w:hAnsiTheme="minorHAnsi" w:cstheme="minorHAnsi"/>
                <w:sz w:val="22"/>
                <w:szCs w:val="22"/>
              </w:rPr>
              <w:t xml:space="preserve"> </w:t>
            </w:r>
            <w:r w:rsidR="00B5518C" w:rsidRPr="001B4821">
              <w:rPr>
                <w:rFonts w:asciiTheme="minorHAnsi" w:hAnsiTheme="minorHAnsi" w:cstheme="minorHAnsi"/>
                <w:sz w:val="22"/>
                <w:szCs w:val="22"/>
              </w:rPr>
              <w:t>Section 653.107(c) ES Office Outreach Responsibilities Comments</w:t>
            </w:r>
          </w:p>
          <w:p w14:paraId="660412D6" w14:textId="77777777" w:rsidR="00A400CF" w:rsidRDefault="00B5518C" w:rsidP="00B5518C">
            <w:pPr>
              <w:pStyle w:val="Heading2"/>
              <w:widowControl w:val="0"/>
              <w:contextualSpacing/>
              <w:rPr>
                <w:rFonts w:asciiTheme="minorHAnsi" w:hAnsiTheme="minorHAnsi" w:cstheme="minorHAnsi"/>
                <w:b w:val="0"/>
                <w:bCs w:val="0"/>
                <w:sz w:val="22"/>
                <w:szCs w:val="22"/>
              </w:rPr>
            </w:pPr>
            <w:r w:rsidRPr="001B4821">
              <w:rPr>
                <w:rFonts w:asciiTheme="minorHAnsi" w:hAnsiTheme="minorHAnsi" w:cstheme="minorHAnsi"/>
                <w:b w:val="0"/>
                <w:bCs w:val="0"/>
                <w:sz w:val="22"/>
                <w:szCs w:val="22"/>
              </w:rPr>
              <w:t>One commenter recommended the Department exempt non-significant ES offices from the requirement to file with the SMA a monthly summary report of outreach efforts because they do not normally conduct outreach and the requirement would impose an unnecessary burden on those offices. Another commenter requested clarification on § 653.107(c) regarding whether all States must establish outreach programs, or that only those top 20 States with significant MSFW populations establish an outreach program and their local ES office managers must report on outreach activities to the SMA. Department Response: The Department will not provide an exemption for non-significant ES offices from submitting the monthly summary report because it is important for the SMA to know what efforts all ES offices are making to locate and contact MSFWs. However, the Department notes that summary reports must be submitted for months when outreach is conducted. The Department concluded that maintaining this requirement as proposed will not impose an unnecessary burden on offices any more than what was already required at 20 CFR 653.107(n).</w:t>
            </w:r>
          </w:p>
          <w:p w14:paraId="24067ACB" w14:textId="0D0F31D7" w:rsidR="000B50F1" w:rsidRPr="000B50F1" w:rsidRDefault="00A529DF" w:rsidP="00B5518C">
            <w:pPr>
              <w:pStyle w:val="Heading2"/>
              <w:widowControl w:val="0"/>
              <w:contextualSpacing/>
              <w:rPr>
                <w:rFonts w:asciiTheme="minorHAnsi" w:hAnsiTheme="minorHAnsi" w:cstheme="minorHAnsi"/>
                <w:color w:val="333333"/>
                <w:sz w:val="24"/>
                <w:szCs w:val="24"/>
                <w:shd w:val="clear" w:color="auto" w:fill="FFFFFF"/>
              </w:rPr>
            </w:pPr>
            <w:hyperlink r:id="rId59" w:history="1">
              <w:r w:rsidR="000B50F1" w:rsidRPr="000B50F1">
                <w:rPr>
                  <w:rStyle w:val="Hyperlink"/>
                  <w:rFonts w:asciiTheme="minorHAnsi" w:hAnsiTheme="minorHAnsi" w:cstheme="minorHAnsi"/>
                  <w:sz w:val="24"/>
                  <w:szCs w:val="24"/>
                  <w:u w:val="single"/>
                  <w:shd w:val="clear" w:color="auto" w:fill="FFFFFF"/>
                </w:rPr>
                <w:t>§ 653.108</w:t>
              </w:r>
            </w:hyperlink>
            <w:r w:rsidR="000B50F1">
              <w:rPr>
                <w:rFonts w:asciiTheme="minorHAnsi" w:hAnsiTheme="minorHAnsi" w:cstheme="minorHAnsi"/>
                <w:color w:val="333333"/>
                <w:sz w:val="24"/>
                <w:szCs w:val="24"/>
                <w:shd w:val="clear" w:color="auto" w:fill="FFFFFF"/>
              </w:rPr>
              <w:t xml:space="preserve"> State Workforce Agency and State Monitor Advocate responsibilities</w:t>
            </w:r>
          </w:p>
          <w:p w14:paraId="626CE282" w14:textId="752F8412" w:rsidR="00652903" w:rsidRPr="00652903" w:rsidRDefault="00A529DF" w:rsidP="00B5518C">
            <w:pPr>
              <w:pStyle w:val="Heading2"/>
              <w:widowControl w:val="0"/>
              <w:contextualSpacing/>
              <w:rPr>
                <w:rFonts w:asciiTheme="minorHAnsi" w:hAnsiTheme="minorHAnsi" w:cstheme="minorHAnsi"/>
                <w:b w:val="0"/>
                <w:bCs w:val="0"/>
                <w:sz w:val="22"/>
                <w:szCs w:val="22"/>
                <w:u w:val="single"/>
              </w:rPr>
            </w:pPr>
            <w:hyperlink r:id="rId60" w:history="1">
              <w:r w:rsidR="00652903" w:rsidRPr="00316FF9">
                <w:rPr>
                  <w:rStyle w:val="Hyperlink"/>
                  <w:rFonts w:asciiTheme="minorHAnsi" w:hAnsiTheme="minorHAnsi" w:cstheme="minorHAnsi"/>
                  <w:sz w:val="24"/>
                  <w:szCs w:val="24"/>
                  <w:u w:val="single"/>
                </w:rPr>
                <w:t>§ 653.109</w:t>
              </w:r>
            </w:hyperlink>
            <w:r w:rsidR="00652903" w:rsidRPr="00316FF9">
              <w:rPr>
                <w:rFonts w:asciiTheme="minorHAnsi" w:hAnsiTheme="minorHAnsi" w:cstheme="minorHAnsi"/>
                <w:b w:val="0"/>
                <w:bCs w:val="0"/>
                <w:sz w:val="24"/>
                <w:szCs w:val="24"/>
              </w:rPr>
              <w:t xml:space="preserve"> </w:t>
            </w:r>
            <w:r w:rsidR="00652903" w:rsidRPr="00316FF9">
              <w:rPr>
                <w:rFonts w:asciiTheme="minorHAnsi" w:hAnsiTheme="minorHAnsi" w:cstheme="minorHAnsi"/>
                <w:sz w:val="24"/>
                <w:szCs w:val="24"/>
              </w:rPr>
              <w:t>Data collection and performance accountability measures</w:t>
            </w:r>
          </w:p>
          <w:p w14:paraId="13982E5B" w14:textId="3AF31B80" w:rsidR="00652903" w:rsidRDefault="00652903" w:rsidP="00B5518C">
            <w:pPr>
              <w:pStyle w:val="Heading2"/>
              <w:widowControl w:val="0"/>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 xml:space="preserve">(g) </w:t>
            </w:r>
            <w:r w:rsidRPr="00652903">
              <w:rPr>
                <w:rFonts w:asciiTheme="minorHAnsi" w:hAnsiTheme="minorHAnsi" w:cstheme="minorHAnsi"/>
                <w:b w:val="0"/>
                <w:bCs w:val="0"/>
                <w:sz w:val="22"/>
                <w:szCs w:val="22"/>
              </w:rPr>
              <w:t>Meet equity indicators that address ES controllable services and include, at a minimum, individuals referred to a job, receiving job development, and referred to supportive or career services.</w:t>
            </w:r>
          </w:p>
          <w:p w14:paraId="61EC67BC" w14:textId="75A322C7" w:rsidR="00925D3D" w:rsidRPr="00652903" w:rsidRDefault="00652903" w:rsidP="00B5518C">
            <w:pPr>
              <w:pStyle w:val="Heading2"/>
              <w:widowControl w:val="0"/>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 xml:space="preserve">(h) </w:t>
            </w:r>
            <w:r w:rsidRPr="00652903">
              <w:rPr>
                <w:rFonts w:asciiTheme="minorHAnsi" w:hAnsiTheme="minorHAnsi" w:cstheme="minorHAnsi"/>
                <w:b w:val="0"/>
                <w:bCs w:val="0"/>
                <w:sz w:val="22"/>
                <w:szCs w:val="22"/>
              </w:rPr>
              <w:t xml:space="preserve">Meet minimum levels of service in significant MSFW States. </w:t>
            </w:r>
            <w:r w:rsidR="001C569C" w:rsidRPr="001B4821">
              <w:rPr>
                <w:rFonts w:asciiTheme="minorHAnsi" w:hAnsiTheme="minorHAnsi" w:cstheme="minorHAnsi"/>
                <w:b w:val="0"/>
                <w:bCs w:val="0"/>
                <w:sz w:val="22"/>
                <w:szCs w:val="22"/>
              </w:rPr>
              <w:tab/>
            </w:r>
          </w:p>
          <w:p w14:paraId="1B574401" w14:textId="77777777" w:rsidR="00E27F88" w:rsidRDefault="00A529DF" w:rsidP="00BD2D1D">
            <w:pPr>
              <w:pStyle w:val="Heading2"/>
              <w:widowControl w:val="0"/>
              <w:contextualSpacing/>
              <w:rPr>
                <w:rStyle w:val="Hyperlink"/>
                <w:rFonts w:asciiTheme="majorHAnsi" w:hAnsiTheme="majorHAnsi" w:cstheme="majorHAnsi"/>
                <w:sz w:val="24"/>
                <w:szCs w:val="24"/>
                <w:u w:val="single"/>
              </w:rPr>
            </w:pPr>
            <w:hyperlink r:id="rId61" w:anchor="sp20.4.658.e" w:history="1">
              <w:r w:rsidR="001B4821" w:rsidRPr="001B4821">
                <w:rPr>
                  <w:rStyle w:val="Hyperlink"/>
                  <w:rFonts w:asciiTheme="majorHAnsi" w:hAnsiTheme="majorHAnsi" w:cstheme="majorHAnsi"/>
                  <w:sz w:val="24"/>
                  <w:szCs w:val="24"/>
                  <w:u w:val="single"/>
                </w:rPr>
                <w:t>20 CFR 658</w:t>
              </w:r>
            </w:hyperlink>
            <w:r w:rsidR="00E27F88">
              <w:rPr>
                <w:rStyle w:val="Hyperlink"/>
                <w:rFonts w:asciiTheme="majorHAnsi" w:hAnsiTheme="majorHAnsi" w:cstheme="majorHAnsi"/>
                <w:sz w:val="24"/>
                <w:szCs w:val="24"/>
                <w:u w:val="single"/>
              </w:rPr>
              <w:t xml:space="preserve"> </w:t>
            </w:r>
          </w:p>
          <w:p w14:paraId="0776AE8C" w14:textId="5A481B97" w:rsidR="001B4821" w:rsidRPr="00E27F88" w:rsidRDefault="001B4821" w:rsidP="00BD2D1D">
            <w:pPr>
              <w:pStyle w:val="Heading2"/>
              <w:widowControl w:val="0"/>
              <w:contextualSpacing/>
              <w:rPr>
                <w:rFonts w:asciiTheme="majorHAnsi" w:hAnsiTheme="majorHAnsi" w:cstheme="majorHAnsi"/>
                <w:color w:val="3399FF"/>
                <w:sz w:val="24"/>
                <w:szCs w:val="24"/>
                <w:u w:val="single"/>
              </w:rPr>
            </w:pPr>
            <w:r w:rsidRPr="001B4821">
              <w:rPr>
                <w:rFonts w:asciiTheme="minorHAnsi" w:hAnsiTheme="minorHAnsi" w:cstheme="minorHAnsi"/>
                <w:sz w:val="24"/>
                <w:szCs w:val="24"/>
              </w:rPr>
              <w:t>Administrative Provisions Governing the Wagner-Peyser Act Employment Services</w:t>
            </w:r>
          </w:p>
          <w:p w14:paraId="270BC1DA" w14:textId="0C938C30" w:rsidR="00E27F88" w:rsidRPr="00E27F88" w:rsidRDefault="00E27F88" w:rsidP="00BD2D1D">
            <w:pPr>
              <w:pStyle w:val="Heading2"/>
              <w:widowControl w:val="0"/>
              <w:contextualSpacing/>
              <w:rPr>
                <w:sz w:val="32"/>
                <w:szCs w:val="32"/>
              </w:rPr>
            </w:pPr>
            <w:r w:rsidRPr="00E27F88">
              <w:rPr>
                <w:rFonts w:asciiTheme="minorHAnsi" w:hAnsiTheme="minorHAnsi" w:cstheme="minorHAnsi"/>
                <w:sz w:val="22"/>
                <w:szCs w:val="22"/>
              </w:rPr>
              <w:t>Subpart E-Employment Service and Employment-Related Law Complaint System (Complaint System)</w:t>
            </w:r>
          </w:p>
          <w:p w14:paraId="00A00365" w14:textId="03AF032B" w:rsidR="001B4821" w:rsidRPr="00E27F88" w:rsidRDefault="00A529DF" w:rsidP="00BD2D1D">
            <w:pPr>
              <w:pStyle w:val="Heading2"/>
              <w:widowControl w:val="0"/>
              <w:contextualSpacing/>
              <w:rPr>
                <w:rFonts w:asciiTheme="minorHAnsi" w:hAnsiTheme="minorHAnsi" w:cstheme="minorHAnsi"/>
                <w:sz w:val="24"/>
                <w:szCs w:val="24"/>
              </w:rPr>
            </w:pPr>
            <w:hyperlink r:id="rId62" w:anchor="p-658.400(a)" w:history="1">
              <w:r w:rsidR="00E27F88" w:rsidRPr="00E27F88">
                <w:rPr>
                  <w:rStyle w:val="Hyperlink"/>
                  <w:rFonts w:asciiTheme="minorHAnsi" w:hAnsiTheme="minorHAnsi" w:cstheme="minorHAnsi"/>
                  <w:b w:val="0"/>
                  <w:bCs w:val="0"/>
                  <w:sz w:val="22"/>
                  <w:szCs w:val="22"/>
                  <w:u w:val="single"/>
                </w:rPr>
                <w:t>§ 658.400</w:t>
              </w:r>
            </w:hyperlink>
            <w:r w:rsidR="00E27F88">
              <w:rPr>
                <w:rStyle w:val="Hyperlink"/>
                <w:rFonts w:asciiTheme="minorHAnsi" w:hAnsiTheme="minorHAnsi" w:cstheme="minorHAnsi"/>
                <w:b w:val="0"/>
                <w:bCs w:val="0"/>
                <w:sz w:val="22"/>
                <w:szCs w:val="22"/>
                <w:u w:val="single"/>
              </w:rPr>
              <w:t xml:space="preserve"> </w:t>
            </w:r>
            <w:r w:rsidR="00E27F88" w:rsidRPr="00E27F88">
              <w:rPr>
                <w:rStyle w:val="Hyperlink"/>
                <w:rFonts w:asciiTheme="minorHAnsi" w:hAnsiTheme="minorHAnsi" w:cstheme="minorHAnsi"/>
                <w:color w:val="auto"/>
                <w:sz w:val="22"/>
                <w:szCs w:val="22"/>
              </w:rPr>
              <w:t>Purpose and Scope of Subpart</w:t>
            </w:r>
            <w:r w:rsidR="00E27F88" w:rsidRPr="001B4821">
              <w:rPr>
                <w:rFonts w:asciiTheme="minorHAnsi" w:hAnsiTheme="minorHAnsi" w:cstheme="minorHAnsi"/>
                <w:sz w:val="24"/>
                <w:szCs w:val="24"/>
                <w:u w:val="single"/>
              </w:rPr>
              <w:t xml:space="preserve"> </w:t>
            </w:r>
          </w:p>
          <w:p w14:paraId="193EF68E" w14:textId="77777777" w:rsidR="001B4821" w:rsidRDefault="001B4821" w:rsidP="00BD2D1D">
            <w:pPr>
              <w:pStyle w:val="Heading2"/>
              <w:widowControl w:val="0"/>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(a)</w:t>
            </w:r>
            <w:r w:rsidR="00476486" w:rsidRPr="00BD2D1D">
              <w:rPr>
                <w:rFonts w:asciiTheme="minorHAnsi" w:hAnsiTheme="minorHAnsi" w:cstheme="minorHAnsi"/>
                <w:b w:val="0"/>
                <w:bCs w:val="0"/>
                <w:sz w:val="22"/>
                <w:szCs w:val="22"/>
              </w:rPr>
              <w:t xml:space="preserve">This subpart sets forth the regulations governing the Complaint System for the Wagner-Peyser Act Employment Service (ES) at the State and Federal levels. Specifically, the Complaint System handles complaints against an employer about the specific job to which the applicant was referred through the ES and complaints involving the failure to comply with the ES regulations under </w:t>
            </w:r>
            <w:hyperlink r:id="rId63" w:history="1">
              <w:r w:rsidR="00476486" w:rsidRPr="00BD2D1D">
                <w:rPr>
                  <w:rStyle w:val="Hyperlink"/>
                  <w:rFonts w:asciiTheme="minorHAnsi" w:hAnsiTheme="minorHAnsi" w:cstheme="minorHAnsi"/>
                  <w:b w:val="0"/>
                  <w:bCs w:val="0"/>
                  <w:sz w:val="22"/>
                  <w:szCs w:val="22"/>
                  <w:u w:val="single"/>
                </w:rPr>
                <w:t>parts 651</w:t>
              </w:r>
            </w:hyperlink>
            <w:r w:rsidR="00476486" w:rsidRPr="00BD2D1D">
              <w:rPr>
                <w:rFonts w:asciiTheme="minorHAnsi" w:hAnsiTheme="minorHAnsi" w:cstheme="minorHAnsi"/>
                <w:b w:val="0"/>
                <w:bCs w:val="0"/>
                <w:sz w:val="22"/>
                <w:szCs w:val="22"/>
                <w:u w:val="single"/>
              </w:rPr>
              <w:t xml:space="preserve">, </w:t>
            </w:r>
            <w:hyperlink r:id="rId64" w:history="1">
              <w:r w:rsidR="00476486" w:rsidRPr="00BD2D1D">
                <w:rPr>
                  <w:rStyle w:val="Hyperlink"/>
                  <w:rFonts w:asciiTheme="minorHAnsi" w:hAnsiTheme="minorHAnsi" w:cstheme="minorHAnsi"/>
                  <w:b w:val="0"/>
                  <w:bCs w:val="0"/>
                  <w:sz w:val="22"/>
                  <w:szCs w:val="22"/>
                  <w:u w:val="single"/>
                </w:rPr>
                <w:t>652</w:t>
              </w:r>
            </w:hyperlink>
            <w:r w:rsidR="00476486" w:rsidRPr="00BD2D1D">
              <w:rPr>
                <w:rFonts w:asciiTheme="minorHAnsi" w:hAnsiTheme="minorHAnsi" w:cstheme="minorHAnsi"/>
                <w:b w:val="0"/>
                <w:bCs w:val="0"/>
                <w:sz w:val="22"/>
                <w:szCs w:val="22"/>
                <w:u w:val="single"/>
              </w:rPr>
              <w:t xml:space="preserve">, </w:t>
            </w:r>
            <w:hyperlink r:id="rId65" w:history="1">
              <w:r w:rsidR="00476486" w:rsidRPr="00BD2D1D">
                <w:rPr>
                  <w:rStyle w:val="Hyperlink"/>
                  <w:rFonts w:asciiTheme="minorHAnsi" w:hAnsiTheme="minorHAnsi" w:cstheme="minorHAnsi"/>
                  <w:b w:val="0"/>
                  <w:bCs w:val="0"/>
                  <w:sz w:val="22"/>
                  <w:szCs w:val="22"/>
                  <w:u w:val="single"/>
                </w:rPr>
                <w:t>653</w:t>
              </w:r>
            </w:hyperlink>
            <w:r w:rsidR="00476486" w:rsidRPr="00BD2D1D">
              <w:rPr>
                <w:rFonts w:asciiTheme="minorHAnsi" w:hAnsiTheme="minorHAnsi" w:cstheme="minorHAnsi"/>
                <w:b w:val="0"/>
                <w:bCs w:val="0"/>
                <w:sz w:val="22"/>
                <w:szCs w:val="22"/>
                <w:u w:val="single"/>
              </w:rPr>
              <w:t>,</w:t>
            </w:r>
            <w:r w:rsidR="00476486" w:rsidRPr="00BD2D1D">
              <w:rPr>
                <w:rFonts w:asciiTheme="minorHAnsi" w:hAnsiTheme="minorHAnsi" w:cstheme="minorHAnsi"/>
                <w:b w:val="0"/>
                <w:bCs w:val="0"/>
                <w:sz w:val="22"/>
                <w:szCs w:val="22"/>
              </w:rPr>
              <w:t xml:space="preserve"> and </w:t>
            </w:r>
            <w:hyperlink r:id="rId66" w:history="1">
              <w:r w:rsidR="00476486" w:rsidRPr="00BD2D1D">
                <w:rPr>
                  <w:rStyle w:val="Hyperlink"/>
                  <w:rFonts w:asciiTheme="minorHAnsi" w:hAnsiTheme="minorHAnsi" w:cstheme="minorHAnsi"/>
                  <w:b w:val="0"/>
                  <w:bCs w:val="0"/>
                  <w:sz w:val="22"/>
                  <w:szCs w:val="22"/>
                  <w:u w:val="single"/>
                </w:rPr>
                <w:t>654 of this chapter</w:t>
              </w:r>
            </w:hyperlink>
            <w:r w:rsidR="00476486" w:rsidRPr="00BD2D1D">
              <w:rPr>
                <w:rFonts w:asciiTheme="minorHAnsi" w:hAnsiTheme="minorHAnsi" w:cstheme="minorHAnsi"/>
                <w:b w:val="0"/>
                <w:bCs w:val="0"/>
                <w:sz w:val="22"/>
                <w:szCs w:val="22"/>
                <w:u w:val="single"/>
              </w:rPr>
              <w:t xml:space="preserve"> </w:t>
            </w:r>
            <w:r w:rsidR="00476486" w:rsidRPr="00BD2D1D">
              <w:rPr>
                <w:rFonts w:asciiTheme="minorHAnsi" w:hAnsiTheme="minorHAnsi" w:cstheme="minorHAnsi"/>
                <w:b w:val="0"/>
                <w:bCs w:val="0"/>
                <w:sz w:val="22"/>
                <w:szCs w:val="22"/>
              </w:rPr>
              <w:t xml:space="preserve">and this part. As noted in </w:t>
            </w:r>
            <w:hyperlink r:id="rId67" w:anchor="p-658.411(d)(6)" w:history="1">
              <w:r w:rsidR="00476486" w:rsidRPr="00BD2D1D">
                <w:rPr>
                  <w:rStyle w:val="Hyperlink"/>
                  <w:rFonts w:asciiTheme="minorHAnsi" w:hAnsiTheme="minorHAnsi" w:cstheme="minorHAnsi"/>
                  <w:b w:val="0"/>
                  <w:bCs w:val="0"/>
                  <w:sz w:val="22"/>
                  <w:szCs w:val="22"/>
                  <w:u w:val="single"/>
                </w:rPr>
                <w:t>§ 658.411(d)(6)</w:t>
              </w:r>
            </w:hyperlink>
            <w:r w:rsidR="00476486" w:rsidRPr="00BD2D1D">
              <w:rPr>
                <w:rFonts w:asciiTheme="minorHAnsi" w:hAnsiTheme="minorHAnsi" w:cstheme="minorHAnsi"/>
                <w:b w:val="0"/>
                <w:bCs w:val="0"/>
                <w:sz w:val="22"/>
                <w:szCs w:val="22"/>
                <w:u w:val="single"/>
              </w:rPr>
              <w:t>,</w:t>
            </w:r>
            <w:r w:rsidR="00476486" w:rsidRPr="00BD2D1D">
              <w:rPr>
                <w:rFonts w:asciiTheme="minorHAnsi" w:hAnsiTheme="minorHAnsi" w:cstheme="minorHAnsi"/>
                <w:b w:val="0"/>
                <w:bCs w:val="0"/>
                <w:sz w:val="22"/>
                <w:szCs w:val="22"/>
              </w:rPr>
              <w:t xml:space="preserve"> this subpart only covers ES-related complaints made within 2 years of the alleged violation.</w:t>
            </w:r>
          </w:p>
          <w:p w14:paraId="3CE969A2" w14:textId="77777777" w:rsidR="001B4821" w:rsidRDefault="00476486" w:rsidP="00BD2D1D">
            <w:pPr>
              <w:pStyle w:val="Heading2"/>
              <w:widowControl w:val="0"/>
              <w:contextualSpacing/>
              <w:rPr>
                <w:rFonts w:asciiTheme="minorHAnsi" w:hAnsiTheme="minorHAnsi" w:cstheme="minorHAnsi"/>
                <w:b w:val="0"/>
                <w:bCs w:val="0"/>
                <w:sz w:val="22"/>
                <w:szCs w:val="22"/>
              </w:rPr>
            </w:pPr>
            <w:r w:rsidRPr="00BD2D1D">
              <w:rPr>
                <w:rStyle w:val="paren"/>
                <w:rFonts w:asciiTheme="minorHAnsi" w:hAnsiTheme="minorHAnsi" w:cstheme="minorHAnsi"/>
                <w:b w:val="0"/>
                <w:bCs w:val="0"/>
                <w:sz w:val="22"/>
                <w:szCs w:val="22"/>
              </w:rPr>
              <w:t>(</w:t>
            </w:r>
            <w:r w:rsidRPr="00BD2D1D">
              <w:rPr>
                <w:rStyle w:val="paragraph-hierarchy"/>
                <w:rFonts w:asciiTheme="minorHAnsi" w:hAnsiTheme="minorHAnsi" w:cstheme="minorHAnsi"/>
                <w:b w:val="0"/>
                <w:bCs w:val="0"/>
                <w:sz w:val="22"/>
                <w:szCs w:val="22"/>
              </w:rPr>
              <w:t>b</w:t>
            </w:r>
            <w:r w:rsidRPr="00BD2D1D">
              <w:rPr>
                <w:rStyle w:val="paren"/>
                <w:rFonts w:asciiTheme="minorHAnsi" w:hAnsiTheme="minorHAnsi" w:cstheme="minorHAnsi"/>
                <w:b w:val="0"/>
                <w:bCs w:val="0"/>
                <w:sz w:val="22"/>
                <w:szCs w:val="22"/>
              </w:rPr>
              <w:t>)</w:t>
            </w:r>
            <w:r w:rsidRPr="00BD2D1D">
              <w:rPr>
                <w:rFonts w:asciiTheme="minorHAnsi" w:hAnsiTheme="minorHAnsi" w:cstheme="minorHAnsi"/>
                <w:b w:val="0"/>
                <w:bCs w:val="0"/>
                <w:sz w:val="22"/>
                <w:szCs w:val="22"/>
              </w:rPr>
              <w:t xml:space="preserve"> Any complaints alleging violations under the Unemployment Insurance program, under Workforce Innovation and Opportunity Act (WIOA) title I programs, or complaints by veterans alleging employer violations of the mandatory listing requirements under </w:t>
            </w:r>
            <w:hyperlink r:id="rId68" w:tgtFrame="_blank" w:history="1">
              <w:r w:rsidRPr="00BD2D1D">
                <w:rPr>
                  <w:rStyle w:val="Hyperlink"/>
                  <w:rFonts w:asciiTheme="minorHAnsi" w:hAnsiTheme="minorHAnsi" w:cstheme="minorHAnsi"/>
                  <w:b w:val="0"/>
                  <w:bCs w:val="0"/>
                  <w:sz w:val="22"/>
                  <w:szCs w:val="22"/>
                  <w:u w:val="single"/>
                </w:rPr>
                <w:t>38 U.S.C. 4212</w:t>
              </w:r>
            </w:hyperlink>
            <w:r w:rsidRPr="00BD2D1D">
              <w:rPr>
                <w:rFonts w:asciiTheme="minorHAnsi" w:hAnsiTheme="minorHAnsi" w:cstheme="minorHAnsi"/>
                <w:b w:val="0"/>
                <w:bCs w:val="0"/>
                <w:sz w:val="22"/>
                <w:szCs w:val="22"/>
              </w:rPr>
              <w:t xml:space="preserve"> are not covered by this subpart and must be referred to the appropriate administering agency which would follow the procedures set forth in the respective regulations. </w:t>
            </w:r>
          </w:p>
          <w:p w14:paraId="16A3C0DD" w14:textId="232A9642" w:rsidR="00447659" w:rsidRDefault="00476486" w:rsidP="00BD2D1D">
            <w:pPr>
              <w:pStyle w:val="Heading2"/>
              <w:widowControl w:val="0"/>
              <w:contextualSpacing/>
              <w:rPr>
                <w:rFonts w:asciiTheme="minorHAnsi" w:hAnsiTheme="minorHAnsi" w:cstheme="minorHAnsi"/>
                <w:b w:val="0"/>
                <w:bCs w:val="0"/>
                <w:sz w:val="22"/>
                <w:szCs w:val="22"/>
              </w:rPr>
            </w:pPr>
            <w:r w:rsidRPr="00BD2D1D">
              <w:rPr>
                <w:rStyle w:val="paren"/>
                <w:rFonts w:asciiTheme="minorHAnsi" w:hAnsiTheme="minorHAnsi" w:cstheme="minorHAnsi"/>
                <w:b w:val="0"/>
                <w:bCs w:val="0"/>
                <w:sz w:val="22"/>
                <w:szCs w:val="22"/>
              </w:rPr>
              <w:t>(</w:t>
            </w:r>
            <w:r w:rsidRPr="00BD2D1D">
              <w:rPr>
                <w:rStyle w:val="paragraph-hierarchy"/>
                <w:rFonts w:asciiTheme="minorHAnsi" w:hAnsiTheme="minorHAnsi" w:cstheme="minorHAnsi"/>
                <w:b w:val="0"/>
                <w:bCs w:val="0"/>
                <w:sz w:val="22"/>
                <w:szCs w:val="22"/>
              </w:rPr>
              <w:t>c</w:t>
            </w:r>
            <w:r w:rsidRPr="00BD2D1D">
              <w:rPr>
                <w:rStyle w:val="paren"/>
                <w:rFonts w:asciiTheme="minorHAnsi" w:hAnsiTheme="minorHAnsi" w:cstheme="minorHAnsi"/>
                <w:b w:val="0"/>
                <w:bCs w:val="0"/>
                <w:sz w:val="22"/>
                <w:szCs w:val="22"/>
              </w:rPr>
              <w:t>)</w:t>
            </w:r>
            <w:r w:rsidRPr="00BD2D1D">
              <w:rPr>
                <w:rFonts w:asciiTheme="minorHAnsi" w:hAnsiTheme="minorHAnsi" w:cstheme="minorHAnsi"/>
                <w:b w:val="0"/>
                <w:bCs w:val="0"/>
                <w:sz w:val="22"/>
                <w:szCs w:val="22"/>
              </w:rPr>
              <w:t xml:space="preserve"> The Complaint System also accepts, refers, and, under certain circumstances, tracks </w:t>
            </w:r>
            <w:r w:rsidR="001C569C" w:rsidRPr="00BD2D1D">
              <w:rPr>
                <w:rFonts w:asciiTheme="minorHAnsi" w:hAnsiTheme="minorHAnsi" w:cstheme="minorHAnsi"/>
                <w:b w:val="0"/>
                <w:bCs w:val="0"/>
                <w:sz w:val="22"/>
                <w:szCs w:val="22"/>
              </w:rPr>
              <w:t>complaints</w:t>
            </w:r>
            <w:r w:rsidRPr="00BD2D1D">
              <w:rPr>
                <w:rFonts w:asciiTheme="minorHAnsi" w:hAnsiTheme="minorHAnsi" w:cstheme="minorHAnsi"/>
                <w:b w:val="0"/>
                <w:bCs w:val="0"/>
                <w:sz w:val="22"/>
                <w:szCs w:val="22"/>
              </w:rPr>
              <w:t xml:space="preserve"> involving employment-related laws as defined in </w:t>
            </w:r>
            <w:hyperlink r:id="rId69" w:history="1">
              <w:r w:rsidRPr="00BD2D1D">
                <w:rPr>
                  <w:rStyle w:val="Hyperlink"/>
                  <w:rFonts w:asciiTheme="minorHAnsi" w:hAnsiTheme="minorHAnsi" w:cstheme="minorHAnsi"/>
                  <w:b w:val="0"/>
                  <w:bCs w:val="0"/>
                  <w:sz w:val="22"/>
                  <w:szCs w:val="22"/>
                </w:rPr>
                <w:t xml:space="preserve">§ 651.10 of this </w:t>
              </w:r>
              <w:r w:rsidRPr="00BD2D1D">
                <w:rPr>
                  <w:rStyle w:val="Hyperlink"/>
                  <w:rFonts w:asciiTheme="minorHAnsi" w:hAnsiTheme="minorHAnsi" w:cstheme="minorHAnsi"/>
                  <w:b w:val="0"/>
                  <w:bCs w:val="0"/>
                  <w:sz w:val="22"/>
                  <w:szCs w:val="22"/>
                </w:rPr>
                <w:lastRenderedPageBreak/>
                <w:t>chapter</w:t>
              </w:r>
            </w:hyperlink>
            <w:r w:rsidRPr="00BD2D1D">
              <w:rPr>
                <w:rFonts w:asciiTheme="minorHAnsi" w:hAnsiTheme="minorHAnsi" w:cstheme="minorHAnsi"/>
                <w:b w:val="0"/>
                <w:bCs w:val="0"/>
                <w:sz w:val="22"/>
                <w:szCs w:val="22"/>
              </w:rPr>
              <w:t>.</w:t>
            </w:r>
          </w:p>
          <w:p w14:paraId="17C157ED" w14:textId="4051E485" w:rsidR="00E27F88" w:rsidRDefault="00476486" w:rsidP="00E27F88">
            <w:pPr>
              <w:pStyle w:val="Heading2"/>
              <w:widowControl w:val="0"/>
              <w:contextualSpacing/>
              <w:rPr>
                <w:rFonts w:asciiTheme="minorHAnsi" w:hAnsiTheme="minorHAnsi" w:cstheme="minorHAnsi"/>
                <w:b w:val="0"/>
                <w:bCs w:val="0"/>
                <w:sz w:val="22"/>
                <w:szCs w:val="22"/>
              </w:rPr>
            </w:pPr>
            <w:r w:rsidRPr="00BD2D1D">
              <w:rPr>
                <w:rStyle w:val="paren"/>
                <w:rFonts w:asciiTheme="minorHAnsi" w:hAnsiTheme="minorHAnsi" w:cstheme="minorHAnsi"/>
                <w:b w:val="0"/>
                <w:bCs w:val="0"/>
                <w:sz w:val="22"/>
                <w:szCs w:val="22"/>
              </w:rPr>
              <w:t>(</w:t>
            </w:r>
            <w:r w:rsidRPr="00BD2D1D">
              <w:rPr>
                <w:rStyle w:val="paragraph-hierarchy"/>
                <w:rFonts w:asciiTheme="minorHAnsi" w:hAnsiTheme="minorHAnsi" w:cstheme="minorHAnsi"/>
                <w:b w:val="0"/>
                <w:bCs w:val="0"/>
                <w:sz w:val="22"/>
                <w:szCs w:val="22"/>
              </w:rPr>
              <w:t>d</w:t>
            </w:r>
            <w:r w:rsidRPr="00BD2D1D">
              <w:rPr>
                <w:rStyle w:val="paren"/>
                <w:rFonts w:asciiTheme="minorHAnsi" w:hAnsiTheme="minorHAnsi" w:cstheme="minorHAnsi"/>
                <w:b w:val="0"/>
                <w:bCs w:val="0"/>
                <w:sz w:val="22"/>
                <w:szCs w:val="22"/>
              </w:rPr>
              <w:t>)</w:t>
            </w:r>
            <w:r w:rsidRPr="00BD2D1D">
              <w:rPr>
                <w:rFonts w:asciiTheme="minorHAnsi" w:hAnsiTheme="minorHAnsi" w:cstheme="minorHAnsi"/>
                <w:b w:val="0"/>
                <w:bCs w:val="0"/>
                <w:sz w:val="22"/>
                <w:szCs w:val="22"/>
              </w:rPr>
              <w:t xml:space="preserve"> A complainant may designate an individual to act as his/her representative.</w:t>
            </w:r>
          </w:p>
          <w:p w14:paraId="47DBC76B" w14:textId="7032331F" w:rsidR="00447659" w:rsidRDefault="00A529DF" w:rsidP="00E27F88">
            <w:pPr>
              <w:pStyle w:val="Heading2"/>
              <w:widowControl w:val="0"/>
              <w:contextualSpacing/>
              <w:rPr>
                <w:rFonts w:asciiTheme="minorHAnsi" w:hAnsiTheme="minorHAnsi" w:cstheme="minorHAnsi"/>
                <w:b w:val="0"/>
                <w:bCs w:val="0"/>
                <w:sz w:val="22"/>
                <w:szCs w:val="22"/>
              </w:rPr>
            </w:pPr>
            <w:hyperlink r:id="rId70" w:history="1">
              <w:r w:rsidR="00447659" w:rsidRPr="00447659">
                <w:rPr>
                  <w:rStyle w:val="Hyperlink"/>
                  <w:rFonts w:asciiTheme="minorHAnsi" w:hAnsiTheme="minorHAnsi" w:cstheme="minorHAnsi"/>
                  <w:b w:val="0"/>
                  <w:bCs w:val="0"/>
                  <w:sz w:val="22"/>
                  <w:szCs w:val="22"/>
                  <w:u w:val="single"/>
                </w:rPr>
                <w:t xml:space="preserve">§658.410 </w:t>
              </w:r>
            </w:hyperlink>
            <w:r w:rsidR="00447659">
              <w:rPr>
                <w:rFonts w:asciiTheme="minorHAnsi" w:hAnsiTheme="minorHAnsi" w:cstheme="minorHAnsi"/>
                <w:b w:val="0"/>
                <w:bCs w:val="0"/>
                <w:sz w:val="22"/>
                <w:szCs w:val="22"/>
              </w:rPr>
              <w:t>Establishment of local and State Complaint Systems</w:t>
            </w:r>
          </w:p>
          <w:p w14:paraId="1AFECE8B" w14:textId="331CD0C7" w:rsidR="00447659" w:rsidRDefault="00A529DF" w:rsidP="00E27F88">
            <w:pPr>
              <w:pStyle w:val="Heading2"/>
              <w:widowControl w:val="0"/>
              <w:contextualSpacing/>
              <w:rPr>
                <w:rFonts w:asciiTheme="minorHAnsi" w:hAnsiTheme="minorHAnsi" w:cstheme="minorHAnsi"/>
                <w:b w:val="0"/>
                <w:bCs w:val="0"/>
                <w:sz w:val="22"/>
                <w:szCs w:val="22"/>
              </w:rPr>
            </w:pPr>
            <w:hyperlink r:id="rId71" w:history="1">
              <w:r w:rsidR="00652903">
                <w:rPr>
                  <w:rStyle w:val="Hyperlink"/>
                  <w:rFonts w:asciiTheme="minorHAnsi" w:hAnsiTheme="minorHAnsi" w:cstheme="minorHAnsi"/>
                  <w:b w:val="0"/>
                  <w:bCs w:val="0"/>
                  <w:sz w:val="22"/>
                  <w:szCs w:val="22"/>
                  <w:u w:val="single"/>
                </w:rPr>
                <w:t>§ 658.411</w:t>
              </w:r>
            </w:hyperlink>
            <w:r w:rsidR="00652903">
              <w:rPr>
                <w:rFonts w:asciiTheme="minorHAnsi" w:hAnsiTheme="minorHAnsi" w:cstheme="minorHAnsi"/>
                <w:b w:val="0"/>
                <w:bCs w:val="0"/>
                <w:sz w:val="22"/>
                <w:szCs w:val="22"/>
              </w:rPr>
              <w:t xml:space="preserve"> Action on Complaints</w:t>
            </w:r>
          </w:p>
          <w:p w14:paraId="5D475201" w14:textId="6E29B2E4" w:rsidR="005D01A8" w:rsidRDefault="005D01A8" w:rsidP="00E27F88">
            <w:pPr>
              <w:pStyle w:val="Heading2"/>
              <w:widowControl w:val="0"/>
              <w:contextualSpacing/>
              <w:rPr>
                <w:rFonts w:asciiTheme="minorHAnsi" w:hAnsiTheme="minorHAnsi" w:cstheme="minorHAnsi"/>
                <w:sz w:val="22"/>
                <w:szCs w:val="22"/>
              </w:rPr>
            </w:pPr>
            <w:r w:rsidRPr="005D01A8">
              <w:rPr>
                <w:rFonts w:asciiTheme="minorHAnsi" w:hAnsiTheme="minorHAnsi" w:cstheme="minorHAnsi"/>
                <w:sz w:val="22"/>
                <w:szCs w:val="22"/>
              </w:rPr>
              <w:t>Subpart F-Agricultural Recruitment System for U.S. Workers (ARS)</w:t>
            </w:r>
          </w:p>
          <w:p w14:paraId="7509BBB8" w14:textId="304D110F" w:rsidR="005D01A8" w:rsidRPr="005D01A8" w:rsidRDefault="00A529DF" w:rsidP="00E27F88">
            <w:pPr>
              <w:pStyle w:val="Heading2"/>
              <w:widowControl w:val="0"/>
              <w:contextualSpacing/>
              <w:rPr>
                <w:rFonts w:asciiTheme="minorHAnsi" w:hAnsiTheme="minorHAnsi" w:cstheme="minorHAnsi"/>
                <w:b w:val="0"/>
                <w:bCs w:val="0"/>
                <w:sz w:val="22"/>
                <w:szCs w:val="22"/>
              </w:rPr>
            </w:pPr>
            <w:hyperlink r:id="rId72" w:history="1">
              <w:r w:rsidR="005D01A8" w:rsidRPr="005D01A8">
                <w:rPr>
                  <w:rStyle w:val="Hyperlink"/>
                  <w:rFonts w:asciiTheme="minorHAnsi" w:hAnsiTheme="minorHAnsi" w:cstheme="minorHAnsi"/>
                  <w:b w:val="0"/>
                  <w:bCs w:val="0"/>
                  <w:sz w:val="22"/>
                  <w:szCs w:val="22"/>
                  <w:u w:val="single"/>
                </w:rPr>
                <w:t>§ 653.501</w:t>
              </w:r>
            </w:hyperlink>
            <w:r w:rsidR="005D01A8">
              <w:rPr>
                <w:rFonts w:asciiTheme="minorHAnsi" w:hAnsiTheme="minorHAnsi" w:cstheme="minorHAnsi"/>
                <w:b w:val="0"/>
                <w:bCs w:val="0"/>
                <w:sz w:val="22"/>
                <w:szCs w:val="22"/>
              </w:rPr>
              <w:t xml:space="preserve"> </w:t>
            </w:r>
            <w:r w:rsidR="005D01A8" w:rsidRPr="005D01A8">
              <w:rPr>
                <w:rFonts w:asciiTheme="minorHAnsi" w:hAnsiTheme="minorHAnsi" w:cstheme="minorHAnsi"/>
                <w:b w:val="0"/>
                <w:bCs w:val="0"/>
                <w:sz w:val="22"/>
                <w:szCs w:val="22"/>
              </w:rPr>
              <w:t>Requirements for processing clearance orders</w:t>
            </w:r>
          </w:p>
          <w:p w14:paraId="1A63D91F" w14:textId="0356D83E" w:rsidR="005D01A8" w:rsidRPr="005D01A8" w:rsidRDefault="005D01A8" w:rsidP="00E27F88">
            <w:pPr>
              <w:pStyle w:val="Heading2"/>
              <w:widowControl w:val="0"/>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(d) Processing clearance orders</w:t>
            </w:r>
          </w:p>
          <w:p w14:paraId="63DDDB34" w14:textId="50C0BE07" w:rsidR="00E27F88" w:rsidRDefault="003E5BF6" w:rsidP="00E27F88">
            <w:pPr>
              <w:pStyle w:val="Heading2"/>
              <w:widowControl w:val="0"/>
              <w:contextualSpacing/>
              <w:rPr>
                <w:rFonts w:asciiTheme="minorHAnsi" w:hAnsiTheme="minorHAnsi" w:cstheme="minorHAnsi"/>
                <w:sz w:val="20"/>
                <w:szCs w:val="20"/>
              </w:rPr>
            </w:pPr>
            <w:r w:rsidRPr="00E27F88">
              <w:rPr>
                <w:rFonts w:asciiTheme="minorHAnsi" w:hAnsiTheme="minorHAnsi" w:cstheme="minorHAnsi"/>
                <w:sz w:val="22"/>
                <w:szCs w:val="22"/>
              </w:rPr>
              <w:t>Subpart G-Review and Assessment of State Workforce Agency Compliance with Employment Service Regulation</w:t>
            </w:r>
            <w:r w:rsidRPr="00E27F88">
              <w:rPr>
                <w:rFonts w:asciiTheme="minorHAnsi" w:hAnsiTheme="minorHAnsi" w:cstheme="minorHAnsi"/>
                <w:sz w:val="20"/>
                <w:szCs w:val="20"/>
              </w:rPr>
              <w:t xml:space="preserve"> </w:t>
            </w:r>
          </w:p>
          <w:p w14:paraId="07D5B157" w14:textId="10837102" w:rsidR="00DD3D69" w:rsidRDefault="00A529DF" w:rsidP="00E27F88">
            <w:pPr>
              <w:pStyle w:val="Heading2"/>
              <w:widowControl w:val="0"/>
              <w:contextualSpacing/>
              <w:rPr>
                <w:rFonts w:asciiTheme="minorHAnsi" w:hAnsiTheme="minorHAnsi" w:cstheme="minorHAnsi"/>
                <w:sz w:val="22"/>
                <w:szCs w:val="22"/>
              </w:rPr>
            </w:pPr>
            <w:hyperlink r:id="rId73" w:anchor="p-658.601(a)" w:history="1">
              <w:r w:rsidR="00DD3D69" w:rsidRPr="005D01A8">
                <w:rPr>
                  <w:rStyle w:val="Hyperlink"/>
                  <w:rFonts w:asciiTheme="minorHAnsi" w:hAnsiTheme="minorHAnsi" w:cstheme="minorHAnsi"/>
                  <w:b w:val="0"/>
                  <w:bCs w:val="0"/>
                  <w:sz w:val="22"/>
                  <w:szCs w:val="22"/>
                  <w:u w:val="single"/>
                </w:rPr>
                <w:t>§ 658.601</w:t>
              </w:r>
            </w:hyperlink>
            <w:r w:rsidR="00DD3D69" w:rsidRPr="00E27F88">
              <w:rPr>
                <w:rFonts w:asciiTheme="minorHAnsi" w:hAnsiTheme="minorHAnsi" w:cstheme="minorHAnsi"/>
                <w:sz w:val="22"/>
                <w:szCs w:val="22"/>
              </w:rPr>
              <w:t xml:space="preserve"> State Workforce Agency responsibility.</w:t>
            </w:r>
          </w:p>
          <w:p w14:paraId="2742D882" w14:textId="77777777" w:rsidR="00A65588" w:rsidRPr="00A65588" w:rsidRDefault="00A65588" w:rsidP="00A65588">
            <w:pPr>
              <w:pStyle w:val="Heading2"/>
              <w:widowControl w:val="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(a) Each SWA must establish and maintain a self-appraisal system for ES operations to determine success in reaching goals and to correct deficiencies in performance. The self-appraisal system must include numerical (quantitative) appraisal and non-numerical (qualitative) appraisal. </w:t>
            </w:r>
          </w:p>
          <w:p w14:paraId="4A78CD24" w14:textId="77777777" w:rsidR="00A65588" w:rsidRPr="00A65588" w:rsidRDefault="00A65588" w:rsidP="00A65588">
            <w:pPr>
              <w:pStyle w:val="Heading2"/>
              <w:widowControl w:val="0"/>
              <w:ind w:left="72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(1) Numerical appraisal at the ES office level must be conducted as follows: </w:t>
            </w:r>
          </w:p>
          <w:p w14:paraId="1762B6B9"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Performance must be measured on a </w:t>
            </w:r>
            <w:proofErr w:type="gramStart"/>
            <w:r w:rsidRPr="00A65588">
              <w:rPr>
                <w:rFonts w:asciiTheme="minorHAnsi" w:hAnsiTheme="minorHAnsi" w:cstheme="minorHAnsi"/>
                <w:b w:val="0"/>
                <w:bCs w:val="0"/>
                <w:sz w:val="22"/>
                <w:szCs w:val="22"/>
              </w:rPr>
              <w:t>quarterly-basis</w:t>
            </w:r>
            <w:proofErr w:type="gramEnd"/>
            <w:r w:rsidRPr="00A65588">
              <w:rPr>
                <w:rFonts w:asciiTheme="minorHAnsi" w:hAnsiTheme="minorHAnsi" w:cstheme="minorHAnsi"/>
                <w:b w:val="0"/>
                <w:bCs w:val="0"/>
                <w:sz w:val="22"/>
                <w:szCs w:val="22"/>
              </w:rPr>
              <w:t xml:space="preserve"> against planned service levels as stated in the Unified or Combined State Plan (“State Plan”). The State Plan must be consistent with numerical goals contained in ES office plans. </w:t>
            </w:r>
          </w:p>
          <w:p w14:paraId="4108861D"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To appraise numerical activities/indicators, actual results as shown on the Department's ETA Form 9172, or any successor report required by the Department must be compared to planned levels. Differences between achievement and plan levels must be identified. </w:t>
            </w:r>
          </w:p>
          <w:p w14:paraId="7F0DD522"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(iii) When the numerical appraisal of required activities/indicators identifies significant differences from planned levels, additional analysis must be conducted to isolate possible contributing factors. This data analysis must include, as appropriate, comparisons to past performance, attainment of State Plan goals and consideration of pertinent non-numerical factors. </w:t>
            </w:r>
          </w:p>
          <w:p w14:paraId="50B667F2"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(iv) Results of ES office numerical reviews must be </w:t>
            </w:r>
            <w:proofErr w:type="gramStart"/>
            <w:r w:rsidRPr="00A65588">
              <w:rPr>
                <w:rFonts w:asciiTheme="minorHAnsi" w:hAnsiTheme="minorHAnsi" w:cstheme="minorHAnsi"/>
                <w:b w:val="0"/>
                <w:bCs w:val="0"/>
                <w:sz w:val="22"/>
                <w:szCs w:val="22"/>
              </w:rPr>
              <w:t>documented</w:t>
            </w:r>
            <w:proofErr w:type="gramEnd"/>
            <w:r w:rsidRPr="00A65588">
              <w:rPr>
                <w:rFonts w:asciiTheme="minorHAnsi" w:hAnsiTheme="minorHAnsi" w:cstheme="minorHAnsi"/>
                <w:b w:val="0"/>
                <w:bCs w:val="0"/>
                <w:sz w:val="22"/>
                <w:szCs w:val="22"/>
              </w:rPr>
              <w:t xml:space="preserve"> and significant deficiencies identified. A corrective action plan as described in </w:t>
            </w:r>
            <w:hyperlink r:id="rId74" w:anchor="p-658.601(a)(6)" w:history="1">
              <w:r w:rsidRPr="00A65588">
                <w:rPr>
                  <w:rStyle w:val="Hyperlink"/>
                  <w:rFonts w:asciiTheme="minorHAnsi" w:hAnsiTheme="minorHAnsi" w:cstheme="minorHAnsi"/>
                  <w:b w:val="0"/>
                  <w:bCs w:val="0"/>
                  <w:sz w:val="22"/>
                  <w:szCs w:val="22"/>
                </w:rPr>
                <w:t>paragraph (a)(6)</w:t>
              </w:r>
            </w:hyperlink>
            <w:r w:rsidRPr="00A65588">
              <w:rPr>
                <w:rFonts w:asciiTheme="minorHAnsi" w:hAnsiTheme="minorHAnsi" w:cstheme="minorHAnsi"/>
                <w:b w:val="0"/>
                <w:bCs w:val="0"/>
                <w:sz w:val="22"/>
                <w:szCs w:val="22"/>
              </w:rPr>
              <w:t xml:space="preserve"> of this section must be developed to address these deficiencies. </w:t>
            </w:r>
          </w:p>
          <w:p w14:paraId="00BE8CA7"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(v) The result of ES office appraisal, including corrective action plans, must be communicated in writing to the next higher level of authority for review. This review must cover adequacy of analysis, appropriateness of corrective actions, and need for higher level involvement. When this review is conducted at an area or district office, a report describing ES office performance within the area or district jurisdiction must be communicated to the SWA on a quarterly basis. </w:t>
            </w:r>
          </w:p>
          <w:p w14:paraId="29269F10" w14:textId="77777777" w:rsidR="00A65588" w:rsidRPr="00A65588" w:rsidRDefault="00A65588" w:rsidP="00A65588">
            <w:pPr>
              <w:pStyle w:val="Heading2"/>
              <w:widowControl w:val="0"/>
              <w:ind w:left="72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(2) Numerical appraisal at the SWA level must be conducted as follows: </w:t>
            </w:r>
          </w:p>
          <w:p w14:paraId="49B0EBB9"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Performance must be measured on a quarterly basis against planned service levels as stated in the State Plan. The State Plan must be consistent with numerical goals contained in ES office plans. </w:t>
            </w:r>
          </w:p>
          <w:p w14:paraId="2350056B"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To appraise these key numerical activities/indicators, actual results as shown on ETA Form 9172, or any successor report required by the Department must be compared to planned levels. Differences between achievement and plan levels must be identified. </w:t>
            </w:r>
          </w:p>
          <w:p w14:paraId="4FEC9690"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(iii) The SWA must review statewide data and performance against planned service levels as stated in the State Plan on at least a quarterly basis to identify significant statewide deficiencies and to determine the need for additional analysis, including identification of trends, comparisons to past performance, and attainment of State Plan goals. </w:t>
            </w:r>
          </w:p>
          <w:p w14:paraId="4258F119"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(iv) Results of numerical reviews must be documented and significant deficiencies identified. A corrective action plan as described in </w:t>
            </w:r>
            <w:hyperlink r:id="rId75" w:anchor="p-658.601(a)(5)" w:history="1">
              <w:r w:rsidRPr="00A65588">
                <w:rPr>
                  <w:rStyle w:val="Hyperlink"/>
                  <w:rFonts w:asciiTheme="minorHAnsi" w:hAnsiTheme="minorHAnsi" w:cstheme="minorHAnsi"/>
                  <w:b w:val="0"/>
                  <w:bCs w:val="0"/>
                  <w:sz w:val="22"/>
                  <w:szCs w:val="22"/>
                </w:rPr>
                <w:t>paragraph (a)(5)</w:t>
              </w:r>
            </w:hyperlink>
            <w:r w:rsidRPr="00A65588">
              <w:rPr>
                <w:rFonts w:asciiTheme="minorHAnsi" w:hAnsiTheme="minorHAnsi" w:cstheme="minorHAnsi"/>
                <w:b w:val="0"/>
                <w:bCs w:val="0"/>
                <w:sz w:val="22"/>
                <w:szCs w:val="22"/>
              </w:rPr>
              <w:t xml:space="preserve"> of this section must be developed to address these deficiencies. These plans must be submitted to the ETA Regional Office as part of the periodic </w:t>
            </w:r>
            <w:r w:rsidRPr="00A65588">
              <w:rPr>
                <w:rFonts w:asciiTheme="minorHAnsi" w:hAnsiTheme="minorHAnsi" w:cstheme="minorHAnsi"/>
                <w:b w:val="0"/>
                <w:bCs w:val="0"/>
                <w:sz w:val="22"/>
                <w:szCs w:val="22"/>
              </w:rPr>
              <w:lastRenderedPageBreak/>
              <w:t xml:space="preserve">performance process described at </w:t>
            </w:r>
            <w:hyperlink r:id="rId76" w:anchor="p-658.603(d)(2)" w:history="1">
              <w:r w:rsidRPr="00A65588">
                <w:rPr>
                  <w:rStyle w:val="Hyperlink"/>
                  <w:rFonts w:asciiTheme="minorHAnsi" w:hAnsiTheme="minorHAnsi" w:cstheme="minorHAnsi"/>
                  <w:b w:val="0"/>
                  <w:bCs w:val="0"/>
                  <w:sz w:val="22"/>
                  <w:szCs w:val="22"/>
                </w:rPr>
                <w:t>§ 658.603(d)(2)</w:t>
              </w:r>
            </w:hyperlink>
            <w:r w:rsidRPr="00A65588">
              <w:rPr>
                <w:rFonts w:asciiTheme="minorHAnsi" w:hAnsiTheme="minorHAnsi" w:cstheme="minorHAnsi"/>
                <w:b w:val="0"/>
                <w:bCs w:val="0"/>
                <w:sz w:val="22"/>
                <w:szCs w:val="22"/>
              </w:rPr>
              <w:t xml:space="preserve">. </w:t>
            </w:r>
          </w:p>
          <w:p w14:paraId="69261D4D" w14:textId="77777777" w:rsidR="00A65588" w:rsidRPr="00A65588" w:rsidRDefault="00A65588" w:rsidP="00A65588">
            <w:pPr>
              <w:pStyle w:val="Heading2"/>
              <w:widowControl w:val="0"/>
              <w:ind w:left="72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(3) Non-numerical (qualitative) appraisal of ES office activities must be conducted at least annually as follows: </w:t>
            </w:r>
          </w:p>
          <w:p w14:paraId="763F0F47"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Each ES office must assess the quality of its services to applicants, employers, and the community and its compliance with Federal regulations. </w:t>
            </w:r>
          </w:p>
          <w:p w14:paraId="6C39FDBE"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At a minimum, non-numerical review must include an assessment of the following factors: </w:t>
            </w:r>
          </w:p>
          <w:p w14:paraId="07C8520C" w14:textId="77777777" w:rsidR="00A65588" w:rsidRPr="00A65588" w:rsidRDefault="00A65588" w:rsidP="00A65588">
            <w:pPr>
              <w:pStyle w:val="Heading2"/>
              <w:widowControl w:val="0"/>
              <w:ind w:left="216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(A) Appropriateness of services provided to participants and employers; </w:t>
            </w:r>
          </w:p>
          <w:p w14:paraId="2B0038C1" w14:textId="77777777" w:rsidR="00A65588" w:rsidRPr="00A65588" w:rsidRDefault="00A65588" w:rsidP="00A65588">
            <w:pPr>
              <w:pStyle w:val="Heading2"/>
              <w:widowControl w:val="0"/>
              <w:ind w:left="216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(B) Timely delivery of services to participants and employers; </w:t>
            </w:r>
          </w:p>
          <w:p w14:paraId="428E05E7" w14:textId="77777777" w:rsidR="00A65588" w:rsidRPr="00A65588" w:rsidRDefault="00A65588" w:rsidP="00A65588">
            <w:pPr>
              <w:pStyle w:val="Heading2"/>
              <w:widowControl w:val="0"/>
              <w:ind w:left="216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(C) Staff responsiveness to individual participants and employer needs; </w:t>
            </w:r>
          </w:p>
          <w:p w14:paraId="5D8534D3" w14:textId="77777777" w:rsidR="00A65588" w:rsidRPr="00A65588" w:rsidRDefault="00A65588" w:rsidP="00A65588">
            <w:pPr>
              <w:pStyle w:val="Heading2"/>
              <w:widowControl w:val="0"/>
              <w:ind w:left="216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(D) Thoroughness and accuracy of documents prepared in the course of service delivery; and </w:t>
            </w:r>
          </w:p>
          <w:p w14:paraId="5A486E8C" w14:textId="77777777" w:rsidR="00A65588" w:rsidRPr="00A65588" w:rsidRDefault="00A65588" w:rsidP="00A65588">
            <w:pPr>
              <w:pStyle w:val="Heading2"/>
              <w:widowControl w:val="0"/>
              <w:ind w:left="216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(E) Effectiveness of ES interface with external organizations, such as other ETA-funded programs, community groups, etc. </w:t>
            </w:r>
          </w:p>
          <w:p w14:paraId="27C5E048"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(iii) Non-numerical review methods must include: </w:t>
            </w:r>
          </w:p>
          <w:p w14:paraId="6D39E173" w14:textId="77777777" w:rsidR="00A65588" w:rsidRPr="00A65588" w:rsidRDefault="00A65588" w:rsidP="00A65588">
            <w:pPr>
              <w:pStyle w:val="Heading2"/>
              <w:widowControl w:val="0"/>
              <w:ind w:left="216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(A) Observation of processes; </w:t>
            </w:r>
          </w:p>
          <w:p w14:paraId="608AFAED" w14:textId="77777777" w:rsidR="00A65588" w:rsidRPr="00A65588" w:rsidRDefault="00A65588" w:rsidP="00A65588">
            <w:pPr>
              <w:pStyle w:val="Heading2"/>
              <w:widowControl w:val="0"/>
              <w:ind w:left="216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(B) Review of documents used in service provisions; and </w:t>
            </w:r>
          </w:p>
          <w:p w14:paraId="4EC94391" w14:textId="77777777" w:rsidR="00A65588" w:rsidRPr="00A65588" w:rsidRDefault="00A65588" w:rsidP="00A65588">
            <w:pPr>
              <w:pStyle w:val="Heading2"/>
              <w:widowControl w:val="0"/>
              <w:ind w:left="216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(C) Solicitation of input from applicants, employers, and the community. </w:t>
            </w:r>
          </w:p>
          <w:p w14:paraId="1A31F9FB"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(iv) The result of non-numerical reviews must be </w:t>
            </w:r>
            <w:proofErr w:type="gramStart"/>
            <w:r w:rsidRPr="00A65588">
              <w:rPr>
                <w:rFonts w:asciiTheme="minorHAnsi" w:hAnsiTheme="minorHAnsi" w:cstheme="minorHAnsi"/>
                <w:b w:val="0"/>
                <w:bCs w:val="0"/>
                <w:sz w:val="22"/>
                <w:szCs w:val="22"/>
              </w:rPr>
              <w:t>documented</w:t>
            </w:r>
            <w:proofErr w:type="gramEnd"/>
            <w:r w:rsidRPr="00A65588">
              <w:rPr>
                <w:rFonts w:asciiTheme="minorHAnsi" w:hAnsiTheme="minorHAnsi" w:cstheme="minorHAnsi"/>
                <w:b w:val="0"/>
                <w:bCs w:val="0"/>
                <w:sz w:val="22"/>
                <w:szCs w:val="22"/>
              </w:rPr>
              <w:t xml:space="preserve"> and deficiencies identified. A corrective action plan addressing these deficiencies as described in </w:t>
            </w:r>
            <w:hyperlink r:id="rId77" w:anchor="p-658.601(a)(6)" w:history="1">
              <w:r w:rsidRPr="00A65588">
                <w:rPr>
                  <w:rStyle w:val="Hyperlink"/>
                  <w:rFonts w:asciiTheme="minorHAnsi" w:hAnsiTheme="minorHAnsi" w:cstheme="minorHAnsi"/>
                  <w:b w:val="0"/>
                  <w:bCs w:val="0"/>
                  <w:sz w:val="22"/>
                  <w:szCs w:val="22"/>
                </w:rPr>
                <w:t>paragraph (a)(6)</w:t>
              </w:r>
            </w:hyperlink>
            <w:r w:rsidRPr="00A65588">
              <w:rPr>
                <w:rFonts w:asciiTheme="minorHAnsi" w:hAnsiTheme="minorHAnsi" w:cstheme="minorHAnsi"/>
                <w:b w:val="0"/>
                <w:bCs w:val="0"/>
                <w:sz w:val="22"/>
                <w:szCs w:val="22"/>
              </w:rPr>
              <w:t xml:space="preserve"> of this section must be developed. </w:t>
            </w:r>
          </w:p>
          <w:p w14:paraId="0A4FBFAB"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(v) The result of ES office non-numerical appraisal, including corrective actions, must be communicated in writing to the next higher level of authority for review. This review must cover thoroughness and adequacy of ES office appraisal, appropriateness of corrective actions, and need for higher level involvement. When this review is conducted at an area or district level, a report summarizing local ES office performance within that jurisdiction must be communicated to the SWA on an annual basis. </w:t>
            </w:r>
          </w:p>
          <w:p w14:paraId="3078C06A" w14:textId="77777777" w:rsidR="00A65588" w:rsidRPr="00A65588" w:rsidRDefault="00A65588" w:rsidP="00A65588">
            <w:pPr>
              <w:pStyle w:val="Heading2"/>
              <w:widowControl w:val="0"/>
              <w:ind w:left="72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(4) As part of its oversight responsibilities, the SWA must conduct onsite reviews in those ES offices which show continuing internal problems or deficiencies in performance as indicated by such sources as data analysis, non-numerical appraisal, or other sources of information. </w:t>
            </w:r>
          </w:p>
          <w:p w14:paraId="237A6C50" w14:textId="77777777" w:rsidR="00A65588" w:rsidRPr="00A65588" w:rsidRDefault="00A65588" w:rsidP="00A65588">
            <w:pPr>
              <w:pStyle w:val="Heading2"/>
              <w:widowControl w:val="0"/>
              <w:ind w:left="72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(5) Non-numerical (qualitative) review of SWA ES activities must be conducted as follows: </w:t>
            </w:r>
          </w:p>
          <w:p w14:paraId="2A9A0FAE"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SWA operations must be assessed annually to determine compliance with Federal regulations. </w:t>
            </w:r>
          </w:p>
          <w:p w14:paraId="73585F26"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Results of non-numerical reviews must be documented and deficiencies identified. A corrective action plan addressing these deficiencies must be developed. </w:t>
            </w:r>
          </w:p>
          <w:p w14:paraId="204725F3" w14:textId="77777777" w:rsidR="00A65588" w:rsidRPr="00A65588" w:rsidRDefault="00A65588" w:rsidP="00A65588">
            <w:pPr>
              <w:pStyle w:val="Heading2"/>
              <w:widowControl w:val="0"/>
              <w:ind w:left="72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(6) Corrective action plans developed to address deficiencies uncovered at any administrative level within the State </w:t>
            </w:r>
            <w:proofErr w:type="gramStart"/>
            <w:r w:rsidRPr="00A65588">
              <w:rPr>
                <w:rFonts w:asciiTheme="minorHAnsi" w:hAnsiTheme="minorHAnsi" w:cstheme="minorHAnsi"/>
                <w:b w:val="0"/>
                <w:bCs w:val="0"/>
                <w:sz w:val="22"/>
                <w:szCs w:val="22"/>
              </w:rPr>
              <w:t>as a result of</w:t>
            </w:r>
            <w:proofErr w:type="gramEnd"/>
            <w:r w:rsidRPr="00A65588">
              <w:rPr>
                <w:rFonts w:asciiTheme="minorHAnsi" w:hAnsiTheme="minorHAnsi" w:cstheme="minorHAnsi"/>
                <w:b w:val="0"/>
                <w:bCs w:val="0"/>
                <w:sz w:val="22"/>
                <w:szCs w:val="22"/>
              </w:rPr>
              <w:t xml:space="preserve"> the self-appraisal process must include: </w:t>
            </w:r>
          </w:p>
          <w:p w14:paraId="6487998A"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 Specific descriptions of the type of action to be taken, the time frame involved, and the assignment of responsibility. </w:t>
            </w:r>
          </w:p>
          <w:p w14:paraId="411A412A"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Provision for the delivery of technical assistance as needed. </w:t>
            </w:r>
          </w:p>
          <w:p w14:paraId="2742AFAB"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(iii) A plan to conduct follow-up on a timely basis to determine if action </w:t>
            </w:r>
            <w:proofErr w:type="gramStart"/>
            <w:r w:rsidRPr="00A65588">
              <w:rPr>
                <w:rFonts w:asciiTheme="minorHAnsi" w:hAnsiTheme="minorHAnsi" w:cstheme="minorHAnsi"/>
                <w:b w:val="0"/>
                <w:bCs w:val="0"/>
                <w:sz w:val="22"/>
                <w:szCs w:val="22"/>
              </w:rPr>
              <w:t>taken</w:t>
            </w:r>
            <w:proofErr w:type="gramEnd"/>
            <w:r w:rsidRPr="00A65588">
              <w:rPr>
                <w:rFonts w:asciiTheme="minorHAnsi" w:hAnsiTheme="minorHAnsi" w:cstheme="minorHAnsi"/>
                <w:b w:val="0"/>
                <w:bCs w:val="0"/>
                <w:sz w:val="22"/>
                <w:szCs w:val="22"/>
              </w:rPr>
              <w:t xml:space="preserve"> to correct the deficiencies has been effective. </w:t>
            </w:r>
          </w:p>
          <w:p w14:paraId="4459EA91" w14:textId="77777777" w:rsidR="00A65588" w:rsidRPr="00A65588" w:rsidRDefault="00A65588" w:rsidP="00A65588">
            <w:pPr>
              <w:pStyle w:val="Heading2"/>
              <w:widowControl w:val="0"/>
              <w:ind w:left="72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(7) </w:t>
            </w:r>
          </w:p>
          <w:p w14:paraId="4888A666"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(i) The provisions of the ES regulations which require numerical and non-numerical assessment of service to special applicant groups (</w:t>
            </w:r>
            <w:r w:rsidRPr="00A65588">
              <w:rPr>
                <w:rFonts w:asciiTheme="minorHAnsi" w:hAnsiTheme="minorHAnsi" w:cstheme="minorHAnsi"/>
                <w:b w:val="0"/>
                <w:bCs w:val="0"/>
                <w:i/>
                <w:iCs/>
                <w:sz w:val="22"/>
                <w:szCs w:val="22"/>
              </w:rPr>
              <w:t>e.g.</w:t>
            </w:r>
            <w:r w:rsidRPr="00A65588">
              <w:rPr>
                <w:rFonts w:asciiTheme="minorHAnsi" w:hAnsiTheme="minorHAnsi" w:cstheme="minorHAnsi"/>
                <w:b w:val="0"/>
                <w:bCs w:val="0"/>
                <w:sz w:val="22"/>
                <w:szCs w:val="22"/>
              </w:rPr>
              <w:t xml:space="preserve">, services to veterans at </w:t>
            </w:r>
            <w:hyperlink r:id="rId78" w:history="1">
              <w:r w:rsidRPr="00A65588">
                <w:rPr>
                  <w:rStyle w:val="Hyperlink"/>
                  <w:rFonts w:asciiTheme="minorHAnsi" w:hAnsiTheme="minorHAnsi" w:cstheme="minorHAnsi"/>
                  <w:b w:val="0"/>
                  <w:bCs w:val="0"/>
                  <w:sz w:val="22"/>
                  <w:szCs w:val="22"/>
                </w:rPr>
                <w:t>20 CFR part 1001</w:t>
              </w:r>
            </w:hyperlink>
            <w:r w:rsidRPr="00A65588">
              <w:rPr>
                <w:rFonts w:asciiTheme="minorHAnsi" w:hAnsiTheme="minorHAnsi" w:cstheme="minorHAnsi"/>
                <w:b w:val="0"/>
                <w:bCs w:val="0"/>
                <w:sz w:val="22"/>
                <w:szCs w:val="22"/>
              </w:rPr>
              <w:t xml:space="preserve"> - Services for Veterans and services to MSFWs at this </w:t>
            </w:r>
            <w:hyperlink r:id="rId79" w:history="1">
              <w:r w:rsidRPr="00A65588">
                <w:rPr>
                  <w:rStyle w:val="Hyperlink"/>
                  <w:rFonts w:asciiTheme="minorHAnsi" w:hAnsiTheme="minorHAnsi" w:cstheme="minorHAnsi"/>
                  <w:b w:val="0"/>
                  <w:bCs w:val="0"/>
                  <w:sz w:val="22"/>
                  <w:szCs w:val="22"/>
                </w:rPr>
                <w:t>part</w:t>
              </w:r>
            </w:hyperlink>
            <w:r w:rsidRPr="00A65588">
              <w:rPr>
                <w:rFonts w:asciiTheme="minorHAnsi" w:hAnsiTheme="minorHAnsi" w:cstheme="minorHAnsi"/>
                <w:b w:val="0"/>
                <w:bCs w:val="0"/>
                <w:sz w:val="22"/>
                <w:szCs w:val="22"/>
              </w:rPr>
              <w:t xml:space="preserve"> and </w:t>
            </w:r>
            <w:hyperlink r:id="rId80" w:history="1">
              <w:r w:rsidRPr="00A65588">
                <w:rPr>
                  <w:rStyle w:val="Hyperlink"/>
                  <w:rFonts w:asciiTheme="minorHAnsi" w:hAnsiTheme="minorHAnsi" w:cstheme="minorHAnsi"/>
                  <w:b w:val="0"/>
                  <w:bCs w:val="0"/>
                  <w:sz w:val="22"/>
                  <w:szCs w:val="22"/>
                </w:rPr>
                <w:t>part 653 of this chapter</w:t>
              </w:r>
            </w:hyperlink>
            <w:r w:rsidRPr="00A65588">
              <w:rPr>
                <w:rFonts w:asciiTheme="minorHAnsi" w:hAnsiTheme="minorHAnsi" w:cstheme="minorHAnsi"/>
                <w:b w:val="0"/>
                <w:bCs w:val="0"/>
                <w:sz w:val="22"/>
                <w:szCs w:val="22"/>
              </w:rPr>
              <w:t xml:space="preserve">), are supplementary to the provisions of this section. </w:t>
            </w:r>
          </w:p>
          <w:p w14:paraId="3D647C35"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 Each State Administrator and ES office manager must ensure their staff know and carry out ES regulations, including regulations on performance </w:t>
            </w:r>
            <w:r w:rsidRPr="00A65588">
              <w:rPr>
                <w:rFonts w:asciiTheme="minorHAnsi" w:hAnsiTheme="minorHAnsi" w:cstheme="minorHAnsi"/>
                <w:b w:val="0"/>
                <w:bCs w:val="0"/>
                <w:sz w:val="22"/>
                <w:szCs w:val="22"/>
              </w:rPr>
              <w:lastRenderedPageBreak/>
              <w:t xml:space="preserve">standards and program emphases, and any corrective action plans imposed by the SWA or by the Department. </w:t>
            </w:r>
          </w:p>
          <w:p w14:paraId="52FDDF56" w14:textId="77777777" w:rsidR="00A65588"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 xml:space="preserve">(iii) Each State Administrator must ensure the SWA complies with its approved State Plan. </w:t>
            </w:r>
          </w:p>
          <w:p w14:paraId="254CA153" w14:textId="0D888CC7" w:rsidR="00DD3D69" w:rsidRPr="00A65588" w:rsidRDefault="00A65588" w:rsidP="00A65588">
            <w:pPr>
              <w:pStyle w:val="Heading2"/>
              <w:widowControl w:val="0"/>
              <w:ind w:left="1440"/>
              <w:contextualSpacing/>
              <w:rPr>
                <w:rFonts w:asciiTheme="minorHAnsi" w:hAnsiTheme="minorHAnsi" w:cstheme="minorHAnsi"/>
                <w:b w:val="0"/>
                <w:bCs w:val="0"/>
                <w:sz w:val="22"/>
                <w:szCs w:val="22"/>
              </w:rPr>
            </w:pPr>
            <w:r w:rsidRPr="00A65588">
              <w:rPr>
                <w:rFonts w:asciiTheme="minorHAnsi" w:hAnsiTheme="minorHAnsi" w:cstheme="minorHAnsi"/>
                <w:b w:val="0"/>
                <w:bCs w:val="0"/>
                <w:sz w:val="22"/>
                <w:szCs w:val="22"/>
              </w:rPr>
              <w:t>(iv) Each State Administrator must ensure to the maximum extent feasible the accuracy of data entered by the SWA into Department-required management information systems. Each SWA must establish and maintain a data validation system pursuant to Department instructions. The system must review every local ES office at least once every 4 years. The system must include the validation of time distribution reports and the review of data gathering procedures.</w:t>
            </w:r>
            <w:bookmarkStart w:id="0" w:name="_Wagner-Peyser_Act_of"/>
            <w:bookmarkEnd w:id="0"/>
          </w:p>
          <w:p w14:paraId="624461DA" w14:textId="71563B41" w:rsidR="005B0018" w:rsidRPr="0059361D" w:rsidRDefault="00A529DF" w:rsidP="005B0018">
            <w:pPr>
              <w:pStyle w:val="Heading1"/>
              <w:shd w:val="clear" w:color="auto" w:fill="FFFFFF"/>
              <w:spacing w:before="150"/>
              <w:rPr>
                <w:rFonts w:cstheme="majorHAnsi"/>
                <w:b/>
                <w:bCs/>
                <w:color w:val="1B1B1B"/>
                <w:sz w:val="24"/>
                <w:szCs w:val="24"/>
              </w:rPr>
            </w:pPr>
            <w:hyperlink r:id="rId81" w:anchor=":~:text=SEC.%207.,720%20et%20seq.)." w:history="1">
              <w:r w:rsidR="005B0018" w:rsidRPr="0059361D">
                <w:rPr>
                  <w:rStyle w:val="Hyperlink"/>
                  <w:rFonts w:cstheme="majorHAnsi"/>
                  <w:b/>
                  <w:bCs/>
                  <w:sz w:val="24"/>
                  <w:szCs w:val="24"/>
                  <w:u w:val="single"/>
                </w:rPr>
                <w:t>Wagner-Peyser Act of 1933, as amended</w:t>
              </w:r>
            </w:hyperlink>
            <w:r w:rsidR="005B0018" w:rsidRPr="0059361D">
              <w:rPr>
                <w:rFonts w:cstheme="majorHAnsi"/>
                <w:b/>
                <w:bCs/>
                <w:color w:val="1B1B1B"/>
                <w:sz w:val="24"/>
                <w:szCs w:val="24"/>
                <w:u w:val="single"/>
              </w:rPr>
              <w:t xml:space="preserve"> </w:t>
            </w:r>
          </w:p>
          <w:p w14:paraId="3BD4C9CA" w14:textId="057B6365" w:rsidR="00A65588" w:rsidRPr="00A65588" w:rsidRDefault="00A65588" w:rsidP="00A65588">
            <w:r w:rsidRPr="00CD59D7">
              <w:rPr>
                <w:b/>
                <w:bCs/>
              </w:rPr>
              <w:t>SEC. 7. (a)</w:t>
            </w:r>
            <w:r w:rsidRPr="00A65588">
              <w:t xml:space="preserve"> Ninety percent of the sums allotted to each State pursuant to section 6 may be used--</w:t>
            </w:r>
          </w:p>
          <w:p w14:paraId="682423A5" w14:textId="40E995B7" w:rsidR="00A65588" w:rsidRPr="00A65588" w:rsidRDefault="00A65588" w:rsidP="00CD59D7">
            <w:pPr>
              <w:ind w:left="1440"/>
            </w:pPr>
            <w:r w:rsidRPr="00A65588">
              <w:t>(1) for job search and placement services to job seekers, including unemployment insurance claimants, including counseling, testing, occupational and labor market information, assessment, and referral to employers;</w:t>
            </w:r>
          </w:p>
          <w:p w14:paraId="2093AA60" w14:textId="543C3A8E" w:rsidR="00A65588" w:rsidRPr="00A65588" w:rsidRDefault="00A65588" w:rsidP="00CD59D7">
            <w:pPr>
              <w:ind w:left="1440"/>
            </w:pPr>
            <w:r w:rsidRPr="00A65588">
              <w:t>(2) for appropriate recruitment services and special technical services for employers; and</w:t>
            </w:r>
          </w:p>
          <w:p w14:paraId="68D2B8EA" w14:textId="04B5ADE0" w:rsidR="00A65588" w:rsidRPr="00A65588" w:rsidRDefault="00A65588" w:rsidP="00CD59D7">
            <w:pPr>
              <w:ind w:left="1440"/>
            </w:pPr>
            <w:r w:rsidRPr="00A65588">
              <w:t>(3) for any of the following activities:</w:t>
            </w:r>
          </w:p>
          <w:p w14:paraId="444D5A72" w14:textId="5B7BA49E" w:rsidR="00A65588" w:rsidRPr="00A65588" w:rsidRDefault="00A65588" w:rsidP="00CD59D7">
            <w:pPr>
              <w:ind w:left="2160"/>
            </w:pPr>
            <w:r w:rsidRPr="00A65588">
              <w:t>(A) evaluation of programs;</w:t>
            </w:r>
          </w:p>
          <w:p w14:paraId="491C8698" w14:textId="3D53EC80" w:rsidR="00A65588" w:rsidRPr="00A65588" w:rsidRDefault="00A65588" w:rsidP="00CD59D7">
            <w:pPr>
              <w:ind w:left="2160"/>
            </w:pPr>
            <w:r w:rsidRPr="00A65588">
              <w:t>(B) developing linkages between services funded under this Act and related Federal or State legislation, including the provision of labor exchange services at educational sites;</w:t>
            </w:r>
          </w:p>
          <w:p w14:paraId="32BAF2CB" w14:textId="6BAB0AF1" w:rsidR="00A65588" w:rsidRPr="00A65588" w:rsidRDefault="00A65588" w:rsidP="00CD59D7">
            <w:pPr>
              <w:ind w:left="2160"/>
            </w:pPr>
            <w:r w:rsidRPr="00A65588">
              <w:t>(C) providing services for workers who have received notice of permanent layoff or impending layoff, or workers in occupations which are experiencing limited demand due to technological change, impact of imports, or plant closures;</w:t>
            </w:r>
          </w:p>
          <w:p w14:paraId="4B357A10" w14:textId="7582D247" w:rsidR="00A65588" w:rsidRPr="00A65588" w:rsidRDefault="00A65588" w:rsidP="00CD59D7">
            <w:pPr>
              <w:ind w:left="2160"/>
            </w:pPr>
            <w:r w:rsidRPr="00A65588">
              <w:t>(D) developing and providing labor market and occupational information;</w:t>
            </w:r>
          </w:p>
          <w:p w14:paraId="43012F5B" w14:textId="63BA8B28" w:rsidR="00A65588" w:rsidRPr="00A65588" w:rsidRDefault="00A65588" w:rsidP="00CD59D7">
            <w:pPr>
              <w:ind w:left="2160"/>
            </w:pPr>
            <w:r w:rsidRPr="00A65588">
              <w:t>(E) developing a management information system and compiling and analyzing reports therefrom;</w:t>
            </w:r>
          </w:p>
          <w:p w14:paraId="6D44CE54" w14:textId="785C8935" w:rsidR="00A65588" w:rsidRPr="00A65588" w:rsidRDefault="00A65588" w:rsidP="00CD59D7">
            <w:pPr>
              <w:ind w:left="2160"/>
            </w:pPr>
            <w:r w:rsidRPr="00A65588">
              <w:t>(F) administering the work test for the State unemployment compensation system, including making eligibility assessments, and providing job finding and placement services for unemployment insurance claimants; and</w:t>
            </w:r>
          </w:p>
          <w:p w14:paraId="10A7FF5B" w14:textId="0D55915A" w:rsidR="00A65588" w:rsidRDefault="00A65588" w:rsidP="001E11FD">
            <w:pPr>
              <w:ind w:left="2160"/>
            </w:pPr>
            <w:r w:rsidRPr="00A65588">
              <w:t>(G) providing unemployment insurance claimants with referrals to, and application assistance for, training and education resources and programs, including Federal Pell Grants under subpart 1 of part A of title IV of the Higher Education Act of 1965 (20 U.S.C. 1070a et seq.), educational assistance under chapter 30 of title 38, United States Code (commonly referred to as the Montgomery GI Bill), and chapter 33 of that title (Post-9/11 Veterans Educational Assistance), student assistance under title IV of the Higher Education Act of 1965 (20 U.S.C. 1070 et seq.), State student higher education assistance, and training and education programs provided under titles I and II of the Workforce Innovation and Opportunity Act, and title I of the Rehabilitation Act of 1973 (29 U.S.C. 720 et seq.).</w:t>
            </w:r>
          </w:p>
          <w:p w14:paraId="26B5E544" w14:textId="77777777" w:rsidR="001E11FD" w:rsidRPr="00A65588" w:rsidRDefault="001E11FD" w:rsidP="001E11FD">
            <w:pPr>
              <w:ind w:left="2160"/>
            </w:pPr>
          </w:p>
          <w:p w14:paraId="3FDF4C01" w14:textId="20045484" w:rsidR="0051452F" w:rsidRPr="00316FF9" w:rsidRDefault="00A529DF" w:rsidP="005B0018">
            <w:pPr>
              <w:rPr>
                <w:b/>
                <w:bCs/>
                <w:sz w:val="24"/>
                <w:szCs w:val="24"/>
              </w:rPr>
            </w:pPr>
            <w:hyperlink r:id="rId82" w:history="1">
              <w:r w:rsidR="008A405F" w:rsidRPr="003D4E89">
                <w:rPr>
                  <w:rStyle w:val="Hyperlink"/>
                  <w:rFonts w:cstheme="minorHAnsi"/>
                  <w:b/>
                  <w:bCs/>
                  <w:u w:val="single"/>
                </w:rPr>
                <w:t>TEGL No. 15-22</w:t>
              </w:r>
            </w:hyperlink>
            <w:r w:rsidR="0051452F">
              <w:rPr>
                <w:b/>
                <w:bCs/>
              </w:rPr>
              <w:t xml:space="preserve"> </w:t>
            </w:r>
            <w:r w:rsidR="0051452F" w:rsidRPr="00146CB2">
              <w:rPr>
                <w:b/>
                <w:bCs/>
                <w:sz w:val="24"/>
                <w:szCs w:val="24"/>
              </w:rPr>
              <w:t>PY 202</w:t>
            </w:r>
            <w:r w:rsidR="008A405F">
              <w:rPr>
                <w:b/>
                <w:bCs/>
                <w:sz w:val="24"/>
                <w:szCs w:val="24"/>
              </w:rPr>
              <w:t>3</w:t>
            </w:r>
            <w:r w:rsidR="0051452F" w:rsidRPr="00146CB2">
              <w:rPr>
                <w:b/>
                <w:bCs/>
                <w:sz w:val="24"/>
                <w:szCs w:val="24"/>
              </w:rPr>
              <w:t xml:space="preserve"> Allotments for Wagner-Peyser Act Employment Services (ES) program</w:t>
            </w:r>
          </w:p>
          <w:p w14:paraId="5E0D4377" w14:textId="2C755AB7" w:rsidR="001E11FD" w:rsidRDefault="00A529DF" w:rsidP="005B0018">
            <w:pPr>
              <w:rPr>
                <w:b/>
                <w:bCs/>
              </w:rPr>
            </w:pPr>
            <w:hyperlink r:id="rId83" w:history="1">
              <w:r w:rsidR="00003114" w:rsidRPr="002E1B07">
                <w:rPr>
                  <w:rStyle w:val="Hyperlink"/>
                  <w:b/>
                  <w:bCs/>
                  <w:u w:val="single"/>
                </w:rPr>
                <w:t>UIPL NO. 14.18</w:t>
              </w:r>
              <w:r w:rsidR="00003114" w:rsidRPr="00003114">
                <w:rPr>
                  <w:rStyle w:val="Hyperlink"/>
                  <w:b/>
                  <w:bCs/>
                </w:rPr>
                <w:t xml:space="preserve"> </w:t>
              </w:r>
            </w:hyperlink>
            <w:r w:rsidR="00146CB2" w:rsidRPr="00146CB2">
              <w:rPr>
                <w:rStyle w:val="Hyperlink"/>
                <w:b/>
                <w:bCs/>
                <w:color w:val="auto"/>
                <w:sz w:val="24"/>
                <w:szCs w:val="24"/>
              </w:rPr>
              <w:t>Unemployment Insurance and the Workforce Innovation Act</w:t>
            </w:r>
            <w:r w:rsidR="00003114" w:rsidRPr="00146CB2">
              <w:rPr>
                <w:b/>
                <w:bCs/>
                <w:sz w:val="24"/>
                <w:szCs w:val="24"/>
              </w:rPr>
              <w:t xml:space="preserve"> </w:t>
            </w:r>
          </w:p>
          <w:p w14:paraId="09DBD222" w14:textId="6790FEAE" w:rsidR="00146CB2" w:rsidRDefault="00003114" w:rsidP="005B0018">
            <w:r>
              <w:rPr>
                <w:b/>
                <w:bCs/>
              </w:rPr>
              <w:t>Section 5</w:t>
            </w:r>
            <w:r w:rsidR="00146CB2">
              <w:rPr>
                <w:b/>
                <w:bCs/>
              </w:rPr>
              <w:t xml:space="preserve"> </w:t>
            </w:r>
            <w:r w:rsidR="00146CB2" w:rsidRPr="00146CB2">
              <w:rPr>
                <w:b/>
                <w:bCs/>
              </w:rPr>
              <w:t>Wagner-Peyser Act Employment Service (ES) Program.</w:t>
            </w:r>
            <w:r w:rsidR="00146CB2">
              <w:t xml:space="preserve"> </w:t>
            </w:r>
          </w:p>
          <w:p w14:paraId="7F26035A" w14:textId="1AF7AEB1" w:rsidR="00146CB2" w:rsidRDefault="00146CB2" w:rsidP="005B0018">
            <w:r>
              <w:t xml:space="preserve">WIOA amends Section 7(a) of the Wagner-Peyser Act in several important ways that impact service delivery to UI claimants (section 305(a) and (b), WIOA). The Wagner-Peyser Act authorizes funding for states to deliver a wide array of services to </w:t>
            </w:r>
            <w:proofErr w:type="gramStart"/>
            <w:r>
              <w:t>job-seekers</w:t>
            </w:r>
            <w:proofErr w:type="gramEnd"/>
            <w:r>
              <w:t xml:space="preserve">. WIOA added new language that reemphasizes the need for Wagner-Peyser Act funds to be used specifically to support reemployment and related services to UI claimants. The coordination of employment services and UI </w:t>
            </w:r>
            <w:r>
              <w:lastRenderedPageBreak/>
              <w:t xml:space="preserve">claimant services is essential to ensure an integrated approach to reemployment service delivery. The WIOA amendments to the Wagner-Peyser Act are intended to strengthen the connectivity between the ES and UI </w:t>
            </w:r>
            <w:proofErr w:type="gramStart"/>
            <w:r>
              <w:t>programs, and</w:t>
            </w:r>
            <w:proofErr w:type="gramEnd"/>
            <w:r>
              <w:t xml:space="preserve"> maximize the opportunities for claimants to return to employment as quickly as possible. </w:t>
            </w:r>
          </w:p>
          <w:p w14:paraId="66E4BD8F" w14:textId="579B62B1" w:rsidR="00146CB2" w:rsidRDefault="00146CB2" w:rsidP="005B0018">
            <w:r>
              <w:t xml:space="preserve">Consistent with 20 CFR Part 652.209, the state ES agency, as part of the one-stop delivery system, must deliver reemployment services to UI claimants for whom such services are required as a condition for receipt of UI benefits. Services must be appropriate to the needs of the UI claimants who are referred to reemployment services under any Federal or state UI program or law. The state must also carry out other activities, as appropriate, including: </w:t>
            </w:r>
          </w:p>
          <w:p w14:paraId="49E9BF50" w14:textId="77777777" w:rsidR="00146CB2" w:rsidRDefault="00146CB2" w:rsidP="00146CB2">
            <w:pPr>
              <w:ind w:left="720"/>
            </w:pPr>
            <w:r>
              <w:sym w:font="Symbol" w:char="F0B7"/>
            </w:r>
            <w:r>
              <w:t xml:space="preserve"> Coordinating and providing basic career services, particularly labor exchange services with the provision of UI claimant services, as required by the Wagner-Peyser Act; </w:t>
            </w:r>
          </w:p>
          <w:p w14:paraId="5324A926" w14:textId="77777777" w:rsidR="00146CB2" w:rsidRDefault="00146CB2" w:rsidP="00146CB2">
            <w:pPr>
              <w:ind w:left="720"/>
            </w:pPr>
            <w:r>
              <w:sym w:font="Symbol" w:char="F0B7"/>
            </w:r>
            <w:r>
              <w:t xml:space="preserve"> Administering the work test, conducting eligibility assessments, and registering UI claimants for employment services in accordance with a state’s UI law, and provision of job finding and placement services; and </w:t>
            </w:r>
          </w:p>
          <w:p w14:paraId="75CAA735" w14:textId="77777777" w:rsidR="00146CB2" w:rsidRDefault="00146CB2" w:rsidP="00146CB2">
            <w:pPr>
              <w:ind w:left="720"/>
            </w:pPr>
            <w:r>
              <w:sym w:font="Symbol" w:char="F0B7"/>
            </w:r>
            <w:r>
              <w:t xml:space="preserve"> Referring UI claimants to, and providing application assistance for, training and education resources and programs, including Federal Pell Grants and other student assistance under Title IV of the Higher Education Act; the Montgomery GI Bill; Post9/11 GI Bill; training provided for youths, </w:t>
            </w:r>
            <w:proofErr w:type="gramStart"/>
            <w:r>
              <w:t>adults</w:t>
            </w:r>
            <w:proofErr w:type="gramEnd"/>
            <w:r>
              <w:t xml:space="preserve"> and dislocated workers, as well as training and education programs under WIOA; and for Vocational Rehabilitation Services under Title I of the Rehabilitation Act of 1973. </w:t>
            </w:r>
          </w:p>
          <w:p w14:paraId="5EDF33AE" w14:textId="77777777" w:rsidR="00146CB2" w:rsidRDefault="00146CB2" w:rsidP="00146CB2">
            <w:r>
              <w:t xml:space="preserve">Staff funded under the Wagner-Peyser Act must ensure that: </w:t>
            </w:r>
          </w:p>
          <w:p w14:paraId="776A9DD0" w14:textId="77777777" w:rsidR="00146CB2" w:rsidRDefault="00146CB2" w:rsidP="00146CB2">
            <w:pPr>
              <w:ind w:left="720"/>
            </w:pPr>
            <w:r>
              <w:sym w:font="Symbol" w:char="F0B7"/>
            </w:r>
            <w:r>
              <w:t xml:space="preserve"> UI claimants receive the full range of reemployment services, including labor exchange services available under the Wagner-Peyser Act that are necessary and appropriate to facilitate their earliest return to work, including career services specified in WIOA; 10 </w:t>
            </w:r>
          </w:p>
          <w:p w14:paraId="2F3B2CE0" w14:textId="77777777" w:rsidR="00146CB2" w:rsidRDefault="00146CB2" w:rsidP="00146CB2">
            <w:pPr>
              <w:ind w:left="720"/>
            </w:pPr>
            <w:r>
              <w:sym w:font="Symbol" w:char="F0B7"/>
            </w:r>
            <w:r>
              <w:t xml:space="preserve"> UI claimants requiring assistance in seeking work receive the necessary and appropriate guidance and counseling to assist them to make a meaningful and realistic work search; and</w:t>
            </w:r>
          </w:p>
          <w:p w14:paraId="07052CEB" w14:textId="77777777" w:rsidR="00146CB2" w:rsidRDefault="00146CB2" w:rsidP="00146CB2">
            <w:pPr>
              <w:ind w:left="720"/>
            </w:pPr>
            <w:r>
              <w:t xml:space="preserve"> </w:t>
            </w:r>
            <w:r>
              <w:sym w:font="Symbol" w:char="F0B7"/>
            </w:r>
            <w:r>
              <w:t xml:space="preserve"> ES staff provides UI staff with information about potential UI eligibility issues such as a claimant’s ability to work, availability for work, or work search activities, and the suitability of available work or employment. Sharing such information with UI staff may help to accelerate the claimant’s return to suitable employment and otherwise ensure their continued eligibility to receive UI. To meet the requirement of providing the necessary information related to UI eligibility, states must ensure that: </w:t>
            </w:r>
          </w:p>
          <w:p w14:paraId="50B86F62" w14:textId="77777777" w:rsidR="00146CB2" w:rsidRDefault="00146CB2" w:rsidP="00146CB2">
            <w:pPr>
              <w:ind w:left="720"/>
            </w:pPr>
            <w:r>
              <w:sym w:font="Symbol" w:char="F0B7"/>
            </w:r>
            <w:r>
              <w:t xml:space="preserve"> An effective feedback loop is in place to advise UI staff whether the claimant reported as directed and participated in the eligibility assessment and/or services, as appropriate; </w:t>
            </w:r>
          </w:p>
          <w:p w14:paraId="437F48E9" w14:textId="77777777" w:rsidR="00146CB2" w:rsidRDefault="00146CB2" w:rsidP="00146CB2">
            <w:pPr>
              <w:ind w:left="720"/>
            </w:pPr>
            <w:r>
              <w:sym w:font="Symbol" w:char="F0B7"/>
            </w:r>
            <w:r>
              <w:t xml:space="preserve"> The feedback loop is in place for all reemployment service activities in which UI claimants are required to participate, and includes a process for referral to UI adjudication any eligibility issues identified in an eligibility review; </w:t>
            </w:r>
          </w:p>
          <w:p w14:paraId="499608A0" w14:textId="77777777" w:rsidR="00146CB2" w:rsidRDefault="00146CB2" w:rsidP="00146CB2">
            <w:pPr>
              <w:ind w:left="720"/>
            </w:pPr>
            <w:r>
              <w:sym w:font="Symbol" w:char="F0B7"/>
            </w:r>
            <w:r>
              <w:t xml:space="preserve"> ES staff are trained to conduct a thorough eligibility assessment to be able to identify potential eligibility issues for referral to UI staff; </w:t>
            </w:r>
          </w:p>
          <w:p w14:paraId="4393C7CB" w14:textId="77777777" w:rsidR="00146CB2" w:rsidRDefault="00146CB2" w:rsidP="00146CB2">
            <w:pPr>
              <w:ind w:left="720"/>
            </w:pPr>
            <w:r>
              <w:sym w:font="Symbol" w:char="F0B7"/>
            </w:r>
            <w:r>
              <w:t xml:space="preserve"> ES staff are trained to properly document information for use by UI staff in adjudicating, as appropriate, any UI eligibility issues; </w:t>
            </w:r>
          </w:p>
          <w:p w14:paraId="4DD1F7A1" w14:textId="77777777" w:rsidR="00146CB2" w:rsidRDefault="00146CB2" w:rsidP="00146CB2">
            <w:pPr>
              <w:ind w:left="720"/>
            </w:pPr>
            <w:r>
              <w:sym w:font="Symbol" w:char="F0B7"/>
            </w:r>
            <w:r>
              <w:t xml:space="preserve"> A process to provide feedback to UI staff is in place and clearly documented. To the extent possible, states are encouraged to integrate IT systems among workforce partners and the UI agency to provide feedback to UI. If systems integration is not feasible, states must ensure a secure method of exchanging information exists. (Either way, states must comply with the requirements of 20 CFR Part 603.); and </w:t>
            </w:r>
          </w:p>
          <w:p w14:paraId="3B8B8DAC" w14:textId="1044CDF5" w:rsidR="0047551E" w:rsidRPr="00316FF9" w:rsidRDefault="00146CB2" w:rsidP="00316FF9">
            <w:pPr>
              <w:ind w:left="720"/>
              <w:rPr>
                <w:b/>
                <w:bCs/>
              </w:rPr>
            </w:pPr>
            <w:r>
              <w:sym w:font="Symbol" w:char="F0B7"/>
            </w:r>
            <w:r>
              <w:t xml:space="preserve"> Only state UI merit staff members have authority to adjudicate UI eligibility issues.</w:t>
            </w:r>
            <w:r w:rsidR="00003114">
              <w:rPr>
                <w:b/>
                <w:bCs/>
              </w:rPr>
              <w:t xml:space="preserve"> </w:t>
            </w:r>
          </w:p>
          <w:p w14:paraId="7B8BAD0A" w14:textId="77777777" w:rsidR="00564B90" w:rsidRDefault="00564B90" w:rsidP="000B2AEB">
            <w:pPr>
              <w:rPr>
                <w:rFonts w:cstheme="majorHAnsi"/>
                <w:sz w:val="16"/>
                <w:szCs w:val="16"/>
              </w:rPr>
            </w:pPr>
          </w:p>
          <w:p w14:paraId="47672A3B" w14:textId="77777777" w:rsidR="000B50F1" w:rsidRDefault="000B50F1" w:rsidP="000B2AEB">
            <w:pPr>
              <w:rPr>
                <w:rFonts w:cstheme="majorHAnsi"/>
                <w:sz w:val="16"/>
                <w:szCs w:val="16"/>
              </w:rPr>
            </w:pPr>
          </w:p>
          <w:p w14:paraId="1B40D2AA" w14:textId="0EB9BD3A" w:rsidR="000B50F1" w:rsidRPr="009D1687" w:rsidRDefault="000B50F1" w:rsidP="000B2AEB">
            <w:pPr>
              <w:rPr>
                <w:rFonts w:cstheme="majorHAnsi"/>
                <w:sz w:val="16"/>
                <w:szCs w:val="16"/>
              </w:rPr>
            </w:pPr>
          </w:p>
        </w:tc>
      </w:tr>
      <w:tr w:rsidR="00DA6D31" w:rsidRPr="0095593C" w14:paraId="28A15A24" w14:textId="77777777" w:rsidTr="001C569C">
        <w:trPr>
          <w:trHeight w:val="456"/>
        </w:trPr>
        <w:tc>
          <w:tcPr>
            <w:tcW w:w="15030" w:type="dxa"/>
            <w:tcBorders>
              <w:top w:val="single" w:sz="12" w:space="0" w:color="auto"/>
              <w:left w:val="single" w:sz="12" w:space="0" w:color="auto"/>
              <w:bottom w:val="single" w:sz="12" w:space="0" w:color="auto"/>
              <w:right w:val="single" w:sz="12" w:space="0" w:color="auto"/>
            </w:tcBorders>
            <w:shd w:val="clear" w:color="auto" w:fill="AEA0CA"/>
          </w:tcPr>
          <w:p w14:paraId="00E692FB" w14:textId="7F851A18" w:rsidR="00DA6D31" w:rsidRPr="00DF1799" w:rsidRDefault="002171B6" w:rsidP="000B2AEB">
            <w:pPr>
              <w:rPr>
                <w:rFonts w:asciiTheme="majorHAnsi" w:hAnsiTheme="majorHAnsi" w:cstheme="majorHAnsi"/>
                <w:b/>
                <w:bCs/>
                <w:sz w:val="36"/>
                <w:szCs w:val="36"/>
              </w:rPr>
            </w:pPr>
            <w:bookmarkStart w:id="1" w:name="_Hlk84412281"/>
            <w:r w:rsidRPr="00DF1799">
              <w:rPr>
                <w:rFonts w:asciiTheme="majorHAnsi" w:hAnsiTheme="majorHAnsi" w:cstheme="majorHAnsi"/>
                <w:b/>
                <w:bCs/>
                <w:sz w:val="36"/>
                <w:szCs w:val="36"/>
              </w:rPr>
              <w:lastRenderedPageBreak/>
              <w:t xml:space="preserve">Office Level Program Monitoring Checklist  </w:t>
            </w:r>
          </w:p>
        </w:tc>
      </w:tr>
      <w:tr w:rsidR="002171B6" w:rsidRPr="002171B6" w14:paraId="43489E3B" w14:textId="77777777" w:rsidTr="001C569C">
        <w:trPr>
          <w:trHeight w:val="456"/>
        </w:trPr>
        <w:tc>
          <w:tcPr>
            <w:tcW w:w="15030" w:type="dxa"/>
            <w:tcBorders>
              <w:top w:val="single" w:sz="12" w:space="0" w:color="auto"/>
              <w:left w:val="single" w:sz="12" w:space="0" w:color="auto"/>
              <w:bottom w:val="single" w:sz="12" w:space="0" w:color="auto"/>
              <w:right w:val="single" w:sz="12" w:space="0" w:color="auto"/>
            </w:tcBorders>
            <w:shd w:val="clear" w:color="auto" w:fill="auto"/>
          </w:tcPr>
          <w:p w14:paraId="3ECC02A2" w14:textId="4092B8FF" w:rsidR="008B191D" w:rsidRPr="00772C1C" w:rsidRDefault="006A15B1" w:rsidP="00772C1C">
            <w:pPr>
              <w:shd w:val="clear" w:color="auto" w:fill="E7E6E6" w:themeFill="background2"/>
              <w:rPr>
                <w:rFonts w:asciiTheme="majorHAnsi" w:hAnsiTheme="majorHAnsi" w:cstheme="majorHAnsi"/>
                <w:b/>
                <w:bCs/>
                <w:sz w:val="32"/>
                <w:szCs w:val="32"/>
              </w:rPr>
            </w:pPr>
            <w:r w:rsidRPr="00772C1C">
              <w:rPr>
                <w:rFonts w:asciiTheme="majorHAnsi" w:hAnsiTheme="majorHAnsi" w:cstheme="majorHAnsi"/>
                <w:b/>
                <w:bCs/>
                <w:sz w:val="32"/>
                <w:szCs w:val="32"/>
              </w:rPr>
              <w:t xml:space="preserve">1.ADMINISTRATION </w:t>
            </w:r>
            <w:r w:rsidR="008B191D" w:rsidRPr="00772C1C">
              <w:rPr>
                <w:rFonts w:asciiTheme="majorHAnsi" w:hAnsiTheme="majorHAnsi" w:cstheme="majorHAnsi"/>
                <w:b/>
                <w:bCs/>
                <w:sz w:val="32"/>
                <w:szCs w:val="32"/>
              </w:rPr>
              <w:t xml:space="preserve"> </w:t>
            </w:r>
          </w:p>
          <w:p w14:paraId="4D92A50F" w14:textId="68A0BDA7" w:rsidR="00BD2C55" w:rsidRDefault="0044393B" w:rsidP="00D33FC3">
            <w:pPr>
              <w:rPr>
                <w:rFonts w:asciiTheme="majorHAnsi" w:hAnsiTheme="majorHAnsi" w:cstheme="majorHAnsi"/>
                <w:b/>
                <w:bCs/>
                <w:sz w:val="28"/>
                <w:szCs w:val="28"/>
              </w:rPr>
            </w:pPr>
            <w:r w:rsidRPr="00E00ACB">
              <w:rPr>
                <w:rFonts w:asciiTheme="majorHAnsi" w:hAnsiTheme="majorHAnsi" w:cstheme="majorHAnsi"/>
                <w:b/>
                <w:bCs/>
                <w:i/>
                <w:iCs/>
                <w:sz w:val="28"/>
                <w:szCs w:val="28"/>
              </w:rPr>
              <w:t xml:space="preserve">Elements </w:t>
            </w:r>
            <w:r w:rsidR="0071550B" w:rsidRPr="00E00ACB">
              <w:rPr>
                <w:rFonts w:asciiTheme="majorHAnsi" w:hAnsiTheme="majorHAnsi" w:cstheme="majorHAnsi"/>
                <w:b/>
                <w:bCs/>
                <w:i/>
                <w:iCs/>
                <w:sz w:val="28"/>
                <w:szCs w:val="28"/>
              </w:rPr>
              <w:t>1A-</w:t>
            </w:r>
            <w:r w:rsidR="00DF1799">
              <w:rPr>
                <w:rFonts w:asciiTheme="majorHAnsi" w:hAnsiTheme="majorHAnsi" w:cstheme="majorHAnsi"/>
                <w:b/>
                <w:bCs/>
                <w:i/>
                <w:iCs/>
                <w:sz w:val="28"/>
                <w:szCs w:val="28"/>
              </w:rPr>
              <w:t>1</w:t>
            </w:r>
            <w:r w:rsidR="0071550B" w:rsidRPr="00E00ACB">
              <w:rPr>
                <w:rFonts w:asciiTheme="majorHAnsi" w:hAnsiTheme="majorHAnsi" w:cstheme="majorHAnsi"/>
                <w:b/>
                <w:bCs/>
                <w:i/>
                <w:iCs/>
                <w:sz w:val="28"/>
                <w:szCs w:val="28"/>
              </w:rPr>
              <w:t>C</w:t>
            </w:r>
            <w:r w:rsidRPr="00E00ACB">
              <w:rPr>
                <w:rFonts w:asciiTheme="majorHAnsi" w:hAnsiTheme="majorHAnsi" w:cstheme="majorHAnsi"/>
                <w:b/>
                <w:bCs/>
                <w:i/>
                <w:iCs/>
                <w:sz w:val="28"/>
                <w:szCs w:val="28"/>
              </w:rPr>
              <w:t xml:space="preserve"> </w:t>
            </w:r>
            <w:r w:rsidR="00254B55">
              <w:rPr>
                <w:rFonts w:asciiTheme="majorHAnsi" w:hAnsiTheme="majorHAnsi" w:cstheme="majorHAnsi"/>
                <w:b/>
                <w:bCs/>
                <w:i/>
                <w:iCs/>
                <w:sz w:val="28"/>
                <w:szCs w:val="28"/>
              </w:rPr>
              <w:t>Wagner-Peyser Non-Numerical Self-Appraisal</w:t>
            </w:r>
            <w:r w:rsidR="00DF1799" w:rsidRPr="00E00ACB">
              <w:rPr>
                <w:rFonts w:asciiTheme="majorHAnsi" w:hAnsiTheme="majorHAnsi" w:cstheme="majorHAnsi"/>
                <w:b/>
                <w:bCs/>
                <w:sz w:val="28"/>
                <w:szCs w:val="28"/>
              </w:rPr>
              <w:t xml:space="preserve">  </w:t>
            </w:r>
          </w:p>
          <w:p w14:paraId="6C4066FB" w14:textId="682AF6DF" w:rsidR="003B2771" w:rsidRDefault="003B2771" w:rsidP="00772C1C">
            <w:pPr>
              <w:ind w:left="720"/>
              <w:rPr>
                <w:b/>
                <w:bCs/>
              </w:rPr>
            </w:pPr>
            <w:r>
              <w:rPr>
                <w:b/>
                <w:bCs/>
              </w:rPr>
              <w:t>Numerical Self-Appraisal and Non-Numerical Self-Appraisal:</w:t>
            </w:r>
          </w:p>
          <w:p w14:paraId="7FEB356A" w14:textId="77777777" w:rsidR="00F23F09" w:rsidRDefault="00A529DF" w:rsidP="00F23F09">
            <w:pPr>
              <w:ind w:left="720"/>
              <w:rPr>
                <w:b/>
                <w:bCs/>
              </w:rPr>
            </w:pPr>
            <w:hyperlink r:id="rId84" w:anchor="p-658.601(a)" w:history="1">
              <w:r w:rsidR="00F23F09" w:rsidRPr="003A76F4">
                <w:rPr>
                  <w:rStyle w:val="Hyperlink"/>
                  <w:rFonts w:cstheme="minorHAnsi"/>
                  <w:b/>
                  <w:bCs/>
                  <w:u w:val="single"/>
                  <w:shd w:val="clear" w:color="auto" w:fill="FFFFFF"/>
                </w:rPr>
                <w:t>20 CFR 658.601(a)</w:t>
              </w:r>
            </w:hyperlink>
            <w:r w:rsidR="00F23F09" w:rsidRPr="003A76F4">
              <w:rPr>
                <w:rFonts w:cstheme="minorHAnsi"/>
                <w:color w:val="333333"/>
                <w:shd w:val="clear" w:color="auto" w:fill="FFFFFF"/>
              </w:rPr>
              <w:t xml:space="preserve"> </w:t>
            </w:r>
            <w:r w:rsidR="00F23F09">
              <w:t xml:space="preserve"> </w:t>
            </w:r>
            <w:r w:rsidR="00F23F09" w:rsidRPr="0044393B">
              <w:t>State Workforce Agency responsibility</w:t>
            </w:r>
            <w:r w:rsidR="00F23F09">
              <w:t xml:space="preserve"> for Self-Appraisal</w:t>
            </w:r>
          </w:p>
          <w:p w14:paraId="21FFB39A" w14:textId="77777777" w:rsidR="008B191D" w:rsidRDefault="008B191D" w:rsidP="00BD2C55">
            <w:pPr>
              <w:rPr>
                <w:rFonts w:cstheme="minorHAnsi"/>
                <w:i/>
                <w:iCs/>
                <w:color w:val="333333"/>
                <w:shd w:val="clear" w:color="auto" w:fill="FFFFFF"/>
              </w:rPr>
            </w:pPr>
          </w:p>
          <w:p w14:paraId="1E2CA1AD" w14:textId="280CD8EF" w:rsidR="008B191D" w:rsidRPr="00E00ACB" w:rsidRDefault="0071550B" w:rsidP="00D33FC3">
            <w:pPr>
              <w:rPr>
                <w:rFonts w:asciiTheme="majorHAnsi" w:hAnsiTheme="majorHAnsi" w:cstheme="majorHAnsi"/>
                <w:b/>
                <w:bCs/>
                <w:i/>
                <w:iCs/>
                <w:sz w:val="28"/>
                <w:szCs w:val="28"/>
                <w:shd w:val="clear" w:color="auto" w:fill="FFFFFF"/>
              </w:rPr>
            </w:pPr>
            <w:proofErr w:type="gramStart"/>
            <w:r w:rsidRPr="00DF1799">
              <w:rPr>
                <w:rFonts w:asciiTheme="majorHAnsi" w:hAnsiTheme="majorHAnsi" w:cstheme="majorHAnsi"/>
                <w:b/>
                <w:bCs/>
                <w:i/>
                <w:iCs/>
                <w:sz w:val="28"/>
                <w:szCs w:val="28"/>
              </w:rPr>
              <w:t>Elements  1</w:t>
            </w:r>
            <w:proofErr w:type="gramEnd"/>
            <w:r w:rsidRPr="00DF1799">
              <w:rPr>
                <w:rFonts w:asciiTheme="majorHAnsi" w:hAnsiTheme="majorHAnsi" w:cstheme="majorHAnsi"/>
                <w:b/>
                <w:bCs/>
                <w:i/>
                <w:iCs/>
                <w:sz w:val="28"/>
                <w:szCs w:val="28"/>
              </w:rPr>
              <w:t>D-</w:t>
            </w:r>
            <w:r w:rsidR="00DF1799">
              <w:rPr>
                <w:rFonts w:asciiTheme="majorHAnsi" w:hAnsiTheme="majorHAnsi" w:cstheme="majorHAnsi"/>
                <w:b/>
                <w:bCs/>
                <w:i/>
                <w:iCs/>
                <w:sz w:val="28"/>
                <w:szCs w:val="28"/>
              </w:rPr>
              <w:t>1</w:t>
            </w:r>
            <w:r w:rsidRPr="00DF1799">
              <w:rPr>
                <w:rFonts w:asciiTheme="majorHAnsi" w:hAnsiTheme="majorHAnsi" w:cstheme="majorHAnsi"/>
                <w:b/>
                <w:bCs/>
                <w:i/>
                <w:iCs/>
                <w:sz w:val="28"/>
                <w:szCs w:val="28"/>
              </w:rPr>
              <w:t xml:space="preserve">G </w:t>
            </w:r>
            <w:r w:rsidR="00254B55">
              <w:rPr>
                <w:rFonts w:asciiTheme="majorHAnsi" w:hAnsiTheme="majorHAnsi" w:cstheme="majorHAnsi"/>
                <w:b/>
                <w:bCs/>
                <w:i/>
                <w:iCs/>
                <w:sz w:val="28"/>
                <w:szCs w:val="28"/>
              </w:rPr>
              <w:t>Wagner-Peyser Complaints</w:t>
            </w:r>
            <w:r w:rsidR="00DF1799" w:rsidRPr="00DF1799">
              <w:rPr>
                <w:rFonts w:asciiTheme="majorHAnsi" w:hAnsiTheme="majorHAnsi" w:cstheme="majorHAnsi"/>
                <w:b/>
                <w:bCs/>
                <w:i/>
                <w:iCs/>
                <w:sz w:val="28"/>
                <w:szCs w:val="28"/>
              </w:rPr>
              <w:t xml:space="preserve">  </w:t>
            </w:r>
          </w:p>
          <w:p w14:paraId="4686CCF4" w14:textId="5F034FD3" w:rsidR="0052595C" w:rsidRPr="0052595C" w:rsidRDefault="0052595C" w:rsidP="00772C1C">
            <w:pPr>
              <w:ind w:left="720"/>
              <w:rPr>
                <w:rFonts w:asciiTheme="majorHAnsi" w:eastAsia="Times New Roman" w:hAnsiTheme="majorHAnsi" w:cs="Arial"/>
                <w:b/>
                <w:i/>
                <w:iCs/>
                <w:sz w:val="24"/>
                <w:szCs w:val="24"/>
              </w:rPr>
            </w:pPr>
            <w:r w:rsidRPr="0071550B">
              <w:rPr>
                <w:rFonts w:eastAsia="Times New Roman" w:cstheme="minorHAnsi"/>
                <w:b/>
              </w:rPr>
              <w:t>Establishment of local and State Complaint Systems</w:t>
            </w:r>
            <w:r w:rsidRPr="0052595C">
              <w:rPr>
                <w:rFonts w:asciiTheme="majorHAnsi" w:eastAsia="Times New Roman" w:hAnsiTheme="majorHAnsi" w:cs="Arial"/>
                <w:b/>
                <w:i/>
                <w:iCs/>
                <w:sz w:val="24"/>
                <w:szCs w:val="24"/>
              </w:rPr>
              <w:t>:</w:t>
            </w:r>
          </w:p>
          <w:p w14:paraId="715ED3A2" w14:textId="1B2DC6E4" w:rsidR="0052595C" w:rsidRPr="006B1C99" w:rsidRDefault="00A529DF" w:rsidP="00772C1C">
            <w:pPr>
              <w:ind w:left="720"/>
              <w:rPr>
                <w:rFonts w:eastAsia="Times New Roman" w:cstheme="minorHAnsi"/>
              </w:rPr>
            </w:pPr>
            <w:hyperlink r:id="rId85" w:anchor="p-658.410(c)" w:history="1">
              <w:r w:rsidR="0052595C" w:rsidRPr="003A76F4">
                <w:rPr>
                  <w:rStyle w:val="Hyperlink"/>
                  <w:rFonts w:eastAsia="Times New Roman" w:cstheme="minorHAnsi"/>
                  <w:b/>
                  <w:bCs/>
                  <w:u w:val="single"/>
                </w:rPr>
                <w:t>20 CFR Part 658.410</w:t>
              </w:r>
            </w:hyperlink>
            <w:r w:rsidR="0052595C" w:rsidRPr="003A76F4">
              <w:rPr>
                <w:rStyle w:val="Hyperlink"/>
                <w:rFonts w:eastAsia="Times New Roman" w:cstheme="minorHAnsi"/>
                <w:b/>
                <w:bCs/>
                <w:u w:val="single"/>
              </w:rPr>
              <w:t>(c)</w:t>
            </w:r>
            <w:r w:rsidR="0052595C" w:rsidRPr="003A76F4">
              <w:rPr>
                <w:rFonts w:eastAsia="Times New Roman" w:cstheme="minorHAnsi"/>
              </w:rPr>
              <w:t xml:space="preserve"> </w:t>
            </w:r>
            <w:r w:rsidR="009026AD" w:rsidRPr="006B1C99">
              <w:rPr>
                <w:rFonts w:eastAsia="Times New Roman" w:cstheme="minorHAnsi"/>
              </w:rPr>
              <w:t>Central Complaint Log/Required Elements</w:t>
            </w:r>
            <w:r w:rsidR="0052595C" w:rsidRPr="006B1C99">
              <w:rPr>
                <w:rFonts w:eastAsia="Times New Roman" w:cstheme="minorHAnsi"/>
              </w:rPr>
              <w:t xml:space="preserve"> </w:t>
            </w:r>
          </w:p>
          <w:p w14:paraId="1CA6D4D6" w14:textId="09D71312" w:rsidR="0052595C" w:rsidRPr="006B1C99" w:rsidRDefault="00A529DF" w:rsidP="00772C1C">
            <w:pPr>
              <w:ind w:left="720"/>
              <w:rPr>
                <w:rFonts w:eastAsia="Times New Roman" w:cstheme="minorHAnsi"/>
              </w:rPr>
            </w:pPr>
            <w:hyperlink r:id="rId86" w:anchor="p-658.410(j)" w:history="1">
              <w:r w:rsidR="0052595C" w:rsidRPr="003A76F4">
                <w:rPr>
                  <w:rStyle w:val="Hyperlink"/>
                  <w:rFonts w:eastAsia="Times New Roman" w:cstheme="minorHAnsi"/>
                  <w:b/>
                  <w:bCs/>
                  <w:u w:val="single"/>
                </w:rPr>
                <w:t>20 CFR Part 658.410 (j)</w:t>
              </w:r>
              <w:r w:rsidR="0052595C" w:rsidRPr="006B1C99">
                <w:rPr>
                  <w:rStyle w:val="Hyperlink"/>
                  <w:rFonts w:eastAsia="Times New Roman" w:cstheme="minorHAnsi"/>
                  <w:u w:val="single"/>
                </w:rPr>
                <w:t xml:space="preserve"> </w:t>
              </w:r>
            </w:hyperlink>
            <w:r w:rsidR="009026AD" w:rsidRPr="006B1C99">
              <w:rPr>
                <w:rFonts w:eastAsia="Times New Roman" w:cstheme="minorHAnsi"/>
              </w:rPr>
              <w:t>Complaint Log Quarterly Report</w:t>
            </w:r>
          </w:p>
          <w:p w14:paraId="0AD569BB" w14:textId="4205398A" w:rsidR="009026AD" w:rsidRDefault="00A529DF" w:rsidP="009026AD">
            <w:pPr>
              <w:ind w:left="720"/>
              <w:rPr>
                <w:rFonts w:eastAsia="Times New Roman" w:cstheme="minorHAnsi"/>
              </w:rPr>
            </w:pPr>
            <w:hyperlink r:id="rId87" w:anchor="p-658.410(d)" w:history="1">
              <w:r w:rsidR="009026AD" w:rsidRPr="003A76F4">
                <w:rPr>
                  <w:rStyle w:val="Hyperlink"/>
                  <w:rFonts w:eastAsia="Times New Roman" w:cstheme="minorHAnsi"/>
                  <w:b/>
                  <w:bCs/>
                  <w:u w:val="single"/>
                </w:rPr>
                <w:t>20 CFR 658.410(d)</w:t>
              </w:r>
            </w:hyperlink>
            <w:r w:rsidR="009026AD" w:rsidRPr="006B1C99">
              <w:rPr>
                <w:rFonts w:eastAsia="Times New Roman" w:cstheme="minorHAnsi"/>
              </w:rPr>
              <w:t xml:space="preserve"> Prominent Display of Employment Complaint System Poster</w:t>
            </w:r>
          </w:p>
          <w:p w14:paraId="46FE05B4" w14:textId="4456F0A6" w:rsidR="00BF690A" w:rsidRDefault="00A529DF" w:rsidP="00BF690A">
            <w:pPr>
              <w:ind w:left="720"/>
              <w:rPr>
                <w:rFonts w:eastAsia="Times New Roman" w:cstheme="minorHAnsi"/>
              </w:rPr>
            </w:pPr>
            <w:hyperlink r:id="rId88" w:history="1">
              <w:r w:rsidR="00BF690A" w:rsidRPr="00BF690A">
                <w:rPr>
                  <w:rStyle w:val="Hyperlink"/>
                  <w:rFonts w:eastAsia="Times New Roman" w:cstheme="minorHAnsi"/>
                  <w:b/>
                  <w:bCs/>
                  <w:u w:val="single"/>
                </w:rPr>
                <w:t>20 CFR 658.411</w:t>
              </w:r>
            </w:hyperlink>
            <w:r w:rsidR="00BF690A" w:rsidRPr="00BF690A">
              <w:rPr>
                <w:rFonts w:eastAsia="Times New Roman" w:cstheme="minorHAnsi"/>
              </w:rPr>
              <w:t xml:space="preserve"> Action on Complaints</w:t>
            </w:r>
          </w:p>
          <w:p w14:paraId="6FF4F944" w14:textId="105D6138" w:rsidR="0052595C" w:rsidRPr="006B1C99" w:rsidRDefault="00A529DF" w:rsidP="00772C1C">
            <w:pPr>
              <w:ind w:left="720"/>
              <w:rPr>
                <w:rFonts w:asciiTheme="majorHAnsi" w:eastAsia="Times New Roman" w:hAnsiTheme="majorHAnsi" w:cs="Arial"/>
              </w:rPr>
            </w:pPr>
            <w:hyperlink r:id="rId89" w:history="1">
              <w:r w:rsidR="003A76F4" w:rsidRPr="003A76F4">
                <w:rPr>
                  <w:rStyle w:val="Hyperlink"/>
                  <w:rFonts w:eastAsia="Times New Roman" w:cstheme="minorHAnsi"/>
                  <w:b/>
                  <w:bCs/>
                  <w:u w:val="single"/>
                </w:rPr>
                <w:t>20 CFR Part 653.108 (g), (i), (l), and (s)(6)</w:t>
              </w:r>
            </w:hyperlink>
            <w:r w:rsidR="0052595C" w:rsidRPr="003B2771">
              <w:rPr>
                <w:rFonts w:eastAsia="Times New Roman" w:cstheme="minorHAnsi"/>
              </w:rPr>
              <w:t xml:space="preserve"> </w:t>
            </w:r>
            <w:r w:rsidR="009026AD" w:rsidRPr="00F85BE5">
              <w:rPr>
                <w:rFonts w:eastAsia="Times New Roman" w:cstheme="minorHAnsi"/>
              </w:rPr>
              <w:t xml:space="preserve">State Monitor Advocate and </w:t>
            </w:r>
            <w:r w:rsidR="0052595C" w:rsidRPr="00F85BE5">
              <w:rPr>
                <w:rFonts w:eastAsia="Times New Roman" w:cstheme="minorHAnsi"/>
              </w:rPr>
              <w:t xml:space="preserve">Complaint </w:t>
            </w:r>
            <w:r w:rsidR="009026AD" w:rsidRPr="00F85BE5">
              <w:rPr>
                <w:rFonts w:eastAsia="Times New Roman" w:cstheme="minorHAnsi"/>
              </w:rPr>
              <w:t>Review</w:t>
            </w:r>
          </w:p>
          <w:p w14:paraId="142723AE" w14:textId="46BB9D15" w:rsidR="003B2771" w:rsidRDefault="00A529DF" w:rsidP="003B2771">
            <w:pPr>
              <w:ind w:left="720"/>
              <w:rPr>
                <w:rStyle w:val="Hyperlink"/>
                <w:rFonts w:cstheme="minorHAnsi"/>
                <w:b/>
                <w:bCs/>
                <w:u w:val="single"/>
              </w:rPr>
            </w:pPr>
            <w:hyperlink r:id="rId90" w:history="1">
              <w:r w:rsidR="003B2771" w:rsidRPr="003A76F4">
                <w:rPr>
                  <w:rStyle w:val="Hyperlink"/>
                  <w:rFonts w:cstheme="minorHAnsi"/>
                  <w:b/>
                  <w:bCs/>
                  <w:u w:val="single"/>
                </w:rPr>
                <w:t>WSS Policy 1012, Revision 2</w:t>
              </w:r>
            </w:hyperlink>
            <w:r w:rsidR="0071550B" w:rsidRPr="006B1C99">
              <w:rPr>
                <w:rStyle w:val="Hyperlink"/>
                <w:rFonts w:cstheme="minorHAnsi"/>
                <w:u w:val="single"/>
              </w:rPr>
              <w:t xml:space="preserve"> </w:t>
            </w:r>
            <w:r w:rsidR="0071550B" w:rsidRPr="0044393B">
              <w:rPr>
                <w:rFonts w:cstheme="minorHAnsi"/>
              </w:rPr>
              <w:t xml:space="preserve">Customer Complaint Resolution and </w:t>
            </w:r>
            <w:hyperlink r:id="rId91" w:history="1">
              <w:r w:rsidR="003B2771" w:rsidRPr="003A76F4">
                <w:rPr>
                  <w:rStyle w:val="Hyperlink"/>
                  <w:rFonts w:cstheme="minorHAnsi"/>
                  <w:b/>
                  <w:bCs/>
                  <w:u w:val="single"/>
                </w:rPr>
                <w:t>Program Complaint Handbook, Section 1</w:t>
              </w:r>
            </w:hyperlink>
          </w:p>
          <w:p w14:paraId="576298B2" w14:textId="0F7E6D9E" w:rsidR="0052595C" w:rsidRPr="003B2771" w:rsidRDefault="003B2771" w:rsidP="003B2771">
            <w:pPr>
              <w:ind w:left="720"/>
              <w:rPr>
                <w:rFonts w:cstheme="minorHAnsi"/>
              </w:rPr>
            </w:pPr>
            <w:r w:rsidRPr="003B2771">
              <w:rPr>
                <w:rFonts w:cstheme="minorHAnsi"/>
              </w:rPr>
              <w:t xml:space="preserve"> </w:t>
            </w:r>
          </w:p>
          <w:p w14:paraId="26B826F6" w14:textId="1DC20624" w:rsidR="0052595C" w:rsidRPr="00772C1C" w:rsidRDefault="0071550B" w:rsidP="00D33FC3">
            <w:pPr>
              <w:shd w:val="clear" w:color="auto" w:fill="FFFFFF" w:themeFill="background1"/>
              <w:ind w:left="252" w:hanging="252"/>
              <w:rPr>
                <w:rFonts w:asciiTheme="majorHAnsi" w:hAnsiTheme="majorHAnsi" w:cstheme="majorHAnsi"/>
                <w:b/>
                <w:bCs/>
                <w:i/>
                <w:iCs/>
                <w:sz w:val="28"/>
                <w:szCs w:val="28"/>
              </w:rPr>
            </w:pPr>
            <w:r w:rsidRPr="00B652DF">
              <w:rPr>
                <w:rFonts w:asciiTheme="majorHAnsi" w:hAnsiTheme="majorHAnsi" w:cstheme="majorHAnsi"/>
                <w:b/>
                <w:bCs/>
                <w:i/>
                <w:iCs/>
                <w:sz w:val="28"/>
                <w:szCs w:val="28"/>
              </w:rPr>
              <w:t>Elements 1H-</w:t>
            </w:r>
            <w:r w:rsidR="00DF1799" w:rsidRPr="00B652DF">
              <w:rPr>
                <w:rFonts w:asciiTheme="majorHAnsi" w:hAnsiTheme="majorHAnsi" w:cstheme="majorHAnsi"/>
                <w:b/>
                <w:bCs/>
                <w:i/>
                <w:iCs/>
                <w:sz w:val="28"/>
                <w:szCs w:val="28"/>
              </w:rPr>
              <w:t>1</w:t>
            </w:r>
            <w:r w:rsidR="00B652DF" w:rsidRPr="00B652DF">
              <w:rPr>
                <w:rFonts w:asciiTheme="majorHAnsi" w:hAnsiTheme="majorHAnsi" w:cstheme="majorHAnsi"/>
                <w:b/>
                <w:bCs/>
                <w:i/>
                <w:iCs/>
                <w:sz w:val="28"/>
                <w:szCs w:val="28"/>
              </w:rPr>
              <w:t>K</w:t>
            </w:r>
            <w:r w:rsidR="0044393B" w:rsidRPr="00772C1C">
              <w:rPr>
                <w:rFonts w:asciiTheme="majorHAnsi" w:hAnsiTheme="majorHAnsi" w:cstheme="majorHAnsi"/>
                <w:b/>
                <w:bCs/>
                <w:i/>
                <w:iCs/>
                <w:sz w:val="28"/>
                <w:szCs w:val="28"/>
              </w:rPr>
              <w:t xml:space="preserve"> </w:t>
            </w:r>
            <w:r w:rsidR="00C750DB">
              <w:rPr>
                <w:rFonts w:asciiTheme="majorHAnsi" w:hAnsiTheme="majorHAnsi" w:cstheme="majorHAnsi"/>
                <w:b/>
                <w:bCs/>
                <w:i/>
                <w:iCs/>
                <w:sz w:val="28"/>
                <w:szCs w:val="28"/>
              </w:rPr>
              <w:t>MIGRANT</w:t>
            </w:r>
            <w:r w:rsidR="003B2771">
              <w:rPr>
                <w:rFonts w:asciiTheme="majorHAnsi" w:hAnsiTheme="majorHAnsi" w:cstheme="majorHAnsi"/>
                <w:b/>
                <w:bCs/>
                <w:i/>
                <w:iCs/>
                <w:sz w:val="28"/>
                <w:szCs w:val="28"/>
              </w:rPr>
              <w:t xml:space="preserve"> AND</w:t>
            </w:r>
            <w:r w:rsidR="00C750DB">
              <w:rPr>
                <w:rFonts w:asciiTheme="majorHAnsi" w:hAnsiTheme="majorHAnsi" w:cstheme="majorHAnsi"/>
                <w:b/>
                <w:bCs/>
                <w:i/>
                <w:iCs/>
                <w:sz w:val="28"/>
                <w:szCs w:val="28"/>
              </w:rPr>
              <w:t xml:space="preserve"> SEASONAL FARM WORKER</w:t>
            </w:r>
            <w:r w:rsidR="00BF690A">
              <w:rPr>
                <w:rFonts w:asciiTheme="majorHAnsi" w:hAnsiTheme="majorHAnsi" w:cstheme="majorHAnsi"/>
                <w:b/>
                <w:bCs/>
                <w:i/>
                <w:iCs/>
                <w:sz w:val="28"/>
                <w:szCs w:val="28"/>
              </w:rPr>
              <w:t xml:space="preserve"> </w:t>
            </w:r>
            <w:r w:rsidR="00254B55">
              <w:rPr>
                <w:rFonts w:asciiTheme="majorHAnsi" w:hAnsiTheme="majorHAnsi" w:cstheme="majorHAnsi"/>
                <w:b/>
                <w:bCs/>
                <w:i/>
                <w:iCs/>
                <w:sz w:val="28"/>
                <w:szCs w:val="28"/>
              </w:rPr>
              <w:t>RESPONSIBILITIES FOR OFFICES</w:t>
            </w:r>
          </w:p>
          <w:p w14:paraId="004CC2D3" w14:textId="1650D893" w:rsidR="0071550B" w:rsidRPr="006B1C99" w:rsidRDefault="00A529DF" w:rsidP="0071550B">
            <w:pPr>
              <w:ind w:left="720"/>
              <w:rPr>
                <w:rFonts w:eastAsia="Times New Roman" w:cstheme="minorHAnsi"/>
              </w:rPr>
            </w:pPr>
            <w:hyperlink r:id="rId92" w:anchor="p-653.103(a)" w:history="1">
              <w:r w:rsidR="0071550B" w:rsidRPr="003A76F4">
                <w:rPr>
                  <w:rStyle w:val="Hyperlink"/>
                  <w:rFonts w:eastAsia="Times New Roman" w:cstheme="minorHAnsi"/>
                  <w:b/>
                  <w:bCs/>
                  <w:u w:val="single"/>
                </w:rPr>
                <w:t>20 CFR 653.103</w:t>
              </w:r>
            </w:hyperlink>
            <w:r w:rsidR="0071550B" w:rsidRPr="006B1C99">
              <w:rPr>
                <w:rFonts w:eastAsia="Times New Roman" w:cstheme="minorHAnsi"/>
              </w:rPr>
              <w:t xml:space="preserve"> M</w:t>
            </w:r>
            <w:r w:rsidR="003B2771">
              <w:rPr>
                <w:rFonts w:eastAsia="Times New Roman" w:cstheme="minorHAnsi"/>
              </w:rPr>
              <w:t>igrant and Seasonal Farm Workers</w:t>
            </w:r>
            <w:r w:rsidR="0071550B" w:rsidRPr="006B1C99">
              <w:rPr>
                <w:rFonts w:eastAsia="Times New Roman" w:cstheme="minorHAnsi"/>
              </w:rPr>
              <w:t xml:space="preserve"> i</w:t>
            </w:r>
            <w:r w:rsidR="00105FCE" w:rsidRPr="006B1C99">
              <w:rPr>
                <w:rFonts w:eastAsia="Times New Roman" w:cstheme="minorHAnsi"/>
              </w:rPr>
              <w:t>n Workforce Development Activities</w:t>
            </w:r>
          </w:p>
          <w:p w14:paraId="5D1D13EE" w14:textId="03404C3A" w:rsidR="0071550B" w:rsidRPr="0044393B" w:rsidRDefault="00A529DF" w:rsidP="0071550B">
            <w:pPr>
              <w:ind w:left="720"/>
              <w:rPr>
                <w:rFonts w:cstheme="minorHAnsi"/>
                <w:color w:val="333333"/>
                <w:lang w:val="en"/>
              </w:rPr>
            </w:pPr>
            <w:hyperlink r:id="rId93" w:anchor="p-653.109(c)" w:history="1">
              <w:r w:rsidR="003A76F4">
                <w:rPr>
                  <w:rStyle w:val="Hyperlink"/>
                  <w:rFonts w:eastAsia="Times New Roman" w:cstheme="minorHAnsi"/>
                  <w:b/>
                  <w:bCs/>
                  <w:u w:val="single"/>
                </w:rPr>
                <w:t>20 CFR 653.109(c)</w:t>
              </w:r>
            </w:hyperlink>
            <w:r w:rsidR="0071550B" w:rsidRPr="0071550B">
              <w:rPr>
                <w:rFonts w:eastAsia="Times New Roman" w:cstheme="minorHAnsi"/>
                <w:b/>
              </w:rPr>
              <w:t xml:space="preserve"> </w:t>
            </w:r>
            <w:r w:rsidR="00925DA9">
              <w:rPr>
                <w:rFonts w:cstheme="minorHAnsi"/>
                <w:color w:val="333333"/>
                <w:lang w:val="en"/>
              </w:rPr>
              <w:t xml:space="preserve">Data Collection and Performance </w:t>
            </w:r>
            <w:r w:rsidR="00027C7F">
              <w:rPr>
                <w:rFonts w:cstheme="minorHAnsi"/>
                <w:color w:val="333333"/>
                <w:lang w:val="en"/>
              </w:rPr>
              <w:t xml:space="preserve">Accountability </w:t>
            </w:r>
            <w:r w:rsidR="00925DA9">
              <w:rPr>
                <w:rFonts w:cstheme="minorHAnsi"/>
                <w:color w:val="333333"/>
                <w:lang w:val="en"/>
              </w:rPr>
              <w:t>Measures for Services to M</w:t>
            </w:r>
            <w:r w:rsidR="0071550B" w:rsidRPr="0044393B">
              <w:rPr>
                <w:rFonts w:cstheme="minorHAnsi"/>
                <w:color w:val="333333"/>
                <w:lang w:val="en"/>
              </w:rPr>
              <w:t xml:space="preserve">igrant and </w:t>
            </w:r>
            <w:r w:rsidR="00925DA9">
              <w:rPr>
                <w:rFonts w:cstheme="minorHAnsi"/>
                <w:color w:val="333333"/>
                <w:lang w:val="en"/>
              </w:rPr>
              <w:t>S</w:t>
            </w:r>
            <w:r w:rsidR="0071550B" w:rsidRPr="0044393B">
              <w:rPr>
                <w:rFonts w:cstheme="minorHAnsi"/>
                <w:color w:val="333333"/>
                <w:lang w:val="en"/>
              </w:rPr>
              <w:t>easonal farmworkers</w:t>
            </w:r>
          </w:p>
          <w:p w14:paraId="5F2C122A" w14:textId="55C7BB17" w:rsidR="004828A5" w:rsidRPr="006B1C99" w:rsidRDefault="00A529DF" w:rsidP="004828A5">
            <w:pPr>
              <w:ind w:left="720"/>
              <w:rPr>
                <w:rFonts w:cstheme="minorHAnsi"/>
                <w:color w:val="333333"/>
                <w:shd w:val="clear" w:color="auto" w:fill="FFFFFF"/>
              </w:rPr>
            </w:pPr>
            <w:hyperlink r:id="rId94" w:anchor="p-653.107(a)" w:history="1">
              <w:r w:rsidR="004828A5" w:rsidRPr="003A76F4">
                <w:rPr>
                  <w:rStyle w:val="Hyperlink"/>
                  <w:rFonts w:cstheme="minorHAnsi"/>
                  <w:b/>
                  <w:bCs/>
                  <w:u w:val="single"/>
                  <w:shd w:val="clear" w:color="auto" w:fill="FFFFFF"/>
                </w:rPr>
                <w:t>20 CFR 653.107(a)</w:t>
              </w:r>
            </w:hyperlink>
            <w:r w:rsidR="004828A5" w:rsidRPr="003A76F4">
              <w:rPr>
                <w:rFonts w:cstheme="minorHAnsi"/>
                <w:color w:val="333333"/>
                <w:shd w:val="clear" w:color="auto" w:fill="FFFFFF"/>
              </w:rPr>
              <w:t xml:space="preserve"> </w:t>
            </w:r>
            <w:r w:rsidR="004828A5" w:rsidRPr="006B1C99">
              <w:rPr>
                <w:rFonts w:cstheme="minorHAnsi"/>
                <w:color w:val="333333"/>
                <w:shd w:val="clear" w:color="auto" w:fill="FFFFFF"/>
              </w:rPr>
              <w:t>Responsibilities of ESD/State Workforce Agency for Outreach</w:t>
            </w:r>
          </w:p>
          <w:p w14:paraId="43ED38A1" w14:textId="12A28FA7" w:rsidR="0071550B" w:rsidRPr="006B1C99" w:rsidRDefault="00A529DF" w:rsidP="0071550B">
            <w:pPr>
              <w:ind w:left="720"/>
              <w:rPr>
                <w:rFonts w:eastAsia="Times New Roman" w:cstheme="minorHAnsi"/>
                <w:u w:val="single"/>
              </w:rPr>
            </w:pPr>
            <w:hyperlink r:id="rId95" w:anchor="p-653.107(b)" w:history="1">
              <w:r w:rsidR="0071550B" w:rsidRPr="003A76F4">
                <w:rPr>
                  <w:rStyle w:val="Hyperlink"/>
                  <w:rFonts w:eastAsia="Times New Roman" w:cstheme="minorHAnsi"/>
                  <w:b/>
                  <w:bCs/>
                  <w:u w:val="single"/>
                </w:rPr>
                <w:t>20 CFR 653.107 (b)</w:t>
              </w:r>
            </w:hyperlink>
            <w:r w:rsidR="004828A5" w:rsidRPr="006B1C99">
              <w:t xml:space="preserve"> Outreach Staff Responsibilities</w:t>
            </w:r>
          </w:p>
          <w:p w14:paraId="199C165F" w14:textId="77777777" w:rsidR="00447AB2" w:rsidRDefault="00A529DF" w:rsidP="00447AB2">
            <w:pPr>
              <w:ind w:left="720"/>
              <w:rPr>
                <w:rFonts w:eastAsia="Times New Roman" w:cstheme="minorHAnsi"/>
              </w:rPr>
            </w:pPr>
            <w:hyperlink r:id="rId96" w:anchor="p-653.107(c)" w:history="1">
              <w:r w:rsidR="0071550B" w:rsidRPr="003A76F4">
                <w:rPr>
                  <w:rStyle w:val="Hyperlink"/>
                  <w:rFonts w:eastAsia="Times New Roman" w:cstheme="minorHAnsi"/>
                  <w:b/>
                  <w:bCs/>
                  <w:u w:val="single"/>
                </w:rPr>
                <w:t>20 CFR 653.107 (c)</w:t>
              </w:r>
            </w:hyperlink>
            <w:r w:rsidR="0071550B" w:rsidRPr="006B1C99">
              <w:rPr>
                <w:rFonts w:eastAsia="Times New Roman" w:cstheme="minorHAnsi"/>
              </w:rPr>
              <w:t xml:space="preserve"> </w:t>
            </w:r>
            <w:r w:rsidR="004828A5" w:rsidRPr="006B1C99">
              <w:rPr>
                <w:rFonts w:eastAsia="Times New Roman" w:cstheme="minorHAnsi"/>
              </w:rPr>
              <w:t>Local Office Outreach Responsibilities</w:t>
            </w:r>
          </w:p>
          <w:p w14:paraId="0EFC525C" w14:textId="1412F6FB" w:rsidR="00447AB2" w:rsidRPr="006B1C99" w:rsidRDefault="00A529DF" w:rsidP="00447AB2">
            <w:pPr>
              <w:ind w:left="720"/>
              <w:rPr>
                <w:rFonts w:eastAsia="Times New Roman" w:cstheme="minorHAnsi"/>
              </w:rPr>
            </w:pPr>
            <w:hyperlink r:id="rId97" w:history="1">
              <w:r w:rsidR="00447AB2" w:rsidRPr="00447AB2">
                <w:rPr>
                  <w:rStyle w:val="Hyperlink"/>
                  <w:rFonts w:cstheme="minorHAnsi"/>
                  <w:b/>
                  <w:bCs/>
                  <w:u w:val="single"/>
                </w:rPr>
                <w:t>Federal Register / Vol. 81, No. 161 / Friday, August 19, 2016</w:t>
              </w:r>
            </w:hyperlink>
            <w:r w:rsidR="00447AB2" w:rsidRPr="00447AB2">
              <w:rPr>
                <w:rFonts w:cstheme="minorHAnsi"/>
                <w:b/>
                <w:bCs/>
              </w:rPr>
              <w:t xml:space="preserve"> </w:t>
            </w:r>
            <w:r w:rsidR="00447AB2">
              <w:rPr>
                <w:rFonts w:cstheme="minorHAnsi"/>
              </w:rPr>
              <w:t xml:space="preserve">Page </w:t>
            </w:r>
            <w:r w:rsidR="00447AB2" w:rsidRPr="001B4821">
              <w:rPr>
                <w:rFonts w:cstheme="minorHAnsi"/>
              </w:rPr>
              <w:t>56273</w:t>
            </w:r>
            <w:r w:rsidR="00447AB2">
              <w:rPr>
                <w:rFonts w:cstheme="minorHAnsi"/>
              </w:rPr>
              <w:t xml:space="preserve"> </w:t>
            </w:r>
            <w:r w:rsidR="00447AB2" w:rsidRPr="001B4821">
              <w:rPr>
                <w:rFonts w:cstheme="minorHAnsi"/>
              </w:rPr>
              <w:t>Section 653.107(c) ES Office Outreach Responsibilities Comments</w:t>
            </w:r>
          </w:p>
          <w:p w14:paraId="74172B46" w14:textId="37E4076E" w:rsidR="00632D32" w:rsidRDefault="00A529DF" w:rsidP="00632D32">
            <w:pPr>
              <w:ind w:left="720"/>
              <w:rPr>
                <w:rStyle w:val="Hyperlink"/>
                <w:rFonts w:eastAsia="Times New Roman" w:cstheme="minorHAnsi"/>
                <w:b/>
                <w:bCs/>
                <w:u w:val="single"/>
              </w:rPr>
            </w:pPr>
            <w:hyperlink r:id="rId98" w:history="1">
              <w:r w:rsidR="003A76F4">
                <w:rPr>
                  <w:rStyle w:val="Hyperlink"/>
                  <w:rFonts w:eastAsia="Times New Roman" w:cstheme="minorHAnsi"/>
                  <w:b/>
                  <w:bCs/>
                  <w:u w:val="single"/>
                </w:rPr>
                <w:t>Agricultural Outreach Plan (Starts pg. 223 of State Workforce Plan 2020-2024)</w:t>
              </w:r>
            </w:hyperlink>
          </w:p>
          <w:p w14:paraId="004C2D45" w14:textId="427F29E8" w:rsidR="0052595C" w:rsidRPr="0044393B" w:rsidRDefault="0052595C" w:rsidP="00BD2C55">
            <w:pPr>
              <w:rPr>
                <w:rFonts w:asciiTheme="majorHAnsi" w:hAnsiTheme="majorHAnsi" w:cstheme="majorHAnsi"/>
                <w:b/>
                <w:bCs/>
                <w:i/>
                <w:iCs/>
                <w:color w:val="333333"/>
                <w:sz w:val="24"/>
                <w:szCs w:val="24"/>
                <w:shd w:val="clear" w:color="auto" w:fill="FFFFFF"/>
              </w:rPr>
            </w:pPr>
          </w:p>
          <w:p w14:paraId="3BB4F59D" w14:textId="77E65D83" w:rsidR="002A73BE" w:rsidRPr="00772C1C" w:rsidRDefault="006A15B1" w:rsidP="00772C1C">
            <w:pPr>
              <w:shd w:val="clear" w:color="auto" w:fill="E7E6E6" w:themeFill="background2"/>
              <w:rPr>
                <w:rFonts w:asciiTheme="majorHAnsi" w:hAnsiTheme="majorHAnsi" w:cs="Arial"/>
                <w:b/>
                <w:sz w:val="32"/>
                <w:szCs w:val="32"/>
              </w:rPr>
            </w:pPr>
            <w:r w:rsidRPr="00772C1C">
              <w:rPr>
                <w:rFonts w:asciiTheme="majorHAnsi" w:hAnsiTheme="majorHAnsi" w:cs="Arial"/>
                <w:b/>
                <w:sz w:val="32"/>
                <w:szCs w:val="32"/>
              </w:rPr>
              <w:t xml:space="preserve">2. </w:t>
            </w:r>
            <w:r w:rsidR="00E00ACB" w:rsidRPr="00772C1C">
              <w:rPr>
                <w:rFonts w:asciiTheme="majorHAnsi" w:hAnsiTheme="majorHAnsi" w:cs="Arial"/>
                <w:b/>
                <w:sz w:val="32"/>
                <w:szCs w:val="32"/>
              </w:rPr>
              <w:t>ELIGIBILITY AND REGISTRATION – JOB SEEKER</w:t>
            </w:r>
            <w:r w:rsidR="00772C1C">
              <w:rPr>
                <w:rFonts w:asciiTheme="majorHAnsi" w:hAnsiTheme="majorHAnsi" w:cs="Arial"/>
                <w:b/>
                <w:sz w:val="32"/>
                <w:szCs w:val="32"/>
              </w:rPr>
              <w:t xml:space="preserve"> </w:t>
            </w:r>
          </w:p>
          <w:p w14:paraId="6B39BC2F" w14:textId="4541A554" w:rsidR="00E00ACB" w:rsidRPr="00772C1C" w:rsidRDefault="00772C1C" w:rsidP="006A15B1">
            <w:pPr>
              <w:rPr>
                <w:rFonts w:asciiTheme="majorHAnsi" w:hAnsiTheme="majorHAnsi" w:cs="Arial"/>
                <w:b/>
                <w:i/>
                <w:iCs/>
                <w:sz w:val="28"/>
                <w:szCs w:val="28"/>
              </w:rPr>
            </w:pPr>
            <w:r>
              <w:rPr>
                <w:rFonts w:asciiTheme="majorHAnsi" w:hAnsiTheme="majorHAnsi" w:cs="Arial"/>
                <w:b/>
                <w:sz w:val="26"/>
                <w:szCs w:val="26"/>
              </w:rPr>
              <w:t xml:space="preserve"> </w:t>
            </w:r>
            <w:r w:rsidRPr="00D33FC3">
              <w:rPr>
                <w:rFonts w:asciiTheme="majorHAnsi" w:hAnsiTheme="majorHAnsi" w:cs="Arial"/>
                <w:b/>
                <w:i/>
                <w:iCs/>
                <w:sz w:val="28"/>
                <w:szCs w:val="28"/>
                <w:shd w:val="clear" w:color="auto" w:fill="FFFFFF" w:themeFill="background1"/>
              </w:rPr>
              <w:t>Elements 2A-</w:t>
            </w:r>
            <w:r w:rsidR="00DF1799" w:rsidRPr="00D33FC3">
              <w:rPr>
                <w:rFonts w:asciiTheme="majorHAnsi" w:hAnsiTheme="majorHAnsi" w:cs="Arial"/>
                <w:b/>
                <w:i/>
                <w:iCs/>
                <w:sz w:val="28"/>
                <w:szCs w:val="28"/>
                <w:shd w:val="clear" w:color="auto" w:fill="FFFFFF" w:themeFill="background1"/>
              </w:rPr>
              <w:t>2</w:t>
            </w:r>
            <w:r w:rsidRPr="00D33FC3">
              <w:rPr>
                <w:rFonts w:asciiTheme="majorHAnsi" w:hAnsiTheme="majorHAnsi" w:cs="Arial"/>
                <w:b/>
                <w:i/>
                <w:iCs/>
                <w:sz w:val="28"/>
                <w:szCs w:val="28"/>
                <w:shd w:val="clear" w:color="auto" w:fill="FFFFFF" w:themeFill="background1"/>
              </w:rPr>
              <w:t xml:space="preserve">E </w:t>
            </w:r>
            <w:r w:rsidR="00DF1799" w:rsidRPr="00D33FC3">
              <w:rPr>
                <w:rFonts w:asciiTheme="majorHAnsi" w:hAnsiTheme="majorHAnsi" w:cs="Arial"/>
                <w:b/>
                <w:i/>
                <w:iCs/>
                <w:sz w:val="28"/>
                <w:szCs w:val="28"/>
                <w:shd w:val="clear" w:color="auto" w:fill="FFFFFF" w:themeFill="background1"/>
              </w:rPr>
              <w:t>SEEKER REGISTRATION PROCESS</w:t>
            </w:r>
            <w:r w:rsidR="00DF1799" w:rsidRPr="00772C1C">
              <w:rPr>
                <w:rFonts w:asciiTheme="majorHAnsi" w:hAnsiTheme="majorHAnsi" w:cs="Arial"/>
                <w:b/>
                <w:i/>
                <w:iCs/>
                <w:sz w:val="28"/>
                <w:szCs w:val="28"/>
              </w:rPr>
              <w:t xml:space="preserve"> </w:t>
            </w:r>
          </w:p>
          <w:p w14:paraId="0A8E92E8" w14:textId="1A6E4F49" w:rsidR="002A73BE" w:rsidRDefault="00A529DF" w:rsidP="0044393B">
            <w:pPr>
              <w:ind w:left="720"/>
              <w:rPr>
                <w:rFonts w:cstheme="minorHAnsi"/>
                <w:b/>
                <w:u w:val="single"/>
              </w:rPr>
            </w:pPr>
            <w:hyperlink r:id="rId99" w:history="1">
              <w:r w:rsidR="003959CE">
                <w:rPr>
                  <w:rStyle w:val="Hyperlink"/>
                  <w:rFonts w:cstheme="minorHAnsi"/>
                  <w:b/>
                  <w:bCs/>
                  <w:u w:val="single"/>
                </w:rPr>
                <w:t>WSS Policy 1019, Revision 7, 3</w:t>
              </w:r>
              <w:r w:rsidR="005D01A8">
                <w:rPr>
                  <w:rStyle w:val="Hyperlink"/>
                  <w:rFonts w:cstheme="minorHAnsi"/>
                  <w:b/>
                  <w:bCs/>
                  <w:u w:val="single"/>
                </w:rPr>
                <w:t xml:space="preserve"> </w:t>
              </w:r>
              <w:r w:rsidR="003959CE">
                <w:rPr>
                  <w:rStyle w:val="Hyperlink"/>
                  <w:rFonts w:cstheme="minorHAnsi"/>
                  <w:b/>
                  <w:bCs/>
                  <w:u w:val="single"/>
                </w:rPr>
                <w:t>(b)</w:t>
              </w:r>
            </w:hyperlink>
            <w:r w:rsidR="002A73BE" w:rsidRPr="0044393B">
              <w:rPr>
                <w:rFonts w:cstheme="minorHAnsi"/>
                <w:bCs/>
              </w:rPr>
              <w:t xml:space="preserve"> </w:t>
            </w:r>
            <w:r w:rsidR="00183F49">
              <w:rPr>
                <w:rFonts w:cstheme="minorHAnsi"/>
                <w:bCs/>
              </w:rPr>
              <w:t xml:space="preserve">Eligibility Policy </w:t>
            </w:r>
            <w:r w:rsidR="0044393B" w:rsidRPr="0044393B">
              <w:rPr>
                <w:rFonts w:cstheme="minorHAnsi"/>
                <w:bCs/>
              </w:rPr>
              <w:t xml:space="preserve">and </w:t>
            </w:r>
            <w:hyperlink r:id="rId100" w:history="1">
              <w:r w:rsidR="003959CE">
                <w:rPr>
                  <w:rStyle w:val="Hyperlink"/>
                  <w:rFonts w:cstheme="minorHAnsi"/>
                  <w:b/>
                  <w:bCs/>
                  <w:u w:val="single"/>
                </w:rPr>
                <w:t>Eligibility Handbook, Revision 7</w:t>
              </w:r>
            </w:hyperlink>
            <w:r w:rsidR="002A73BE" w:rsidRPr="0044393B">
              <w:rPr>
                <w:rFonts w:cstheme="minorHAnsi"/>
                <w:b/>
                <w:u w:val="single"/>
              </w:rPr>
              <w:t xml:space="preserve"> </w:t>
            </w:r>
          </w:p>
          <w:p w14:paraId="40199303" w14:textId="3179DFB3" w:rsidR="00632D32" w:rsidRPr="00632D32" w:rsidRDefault="00A529DF" w:rsidP="0044393B">
            <w:pPr>
              <w:ind w:left="720"/>
              <w:rPr>
                <w:rFonts w:cstheme="minorHAnsi"/>
                <w:b/>
              </w:rPr>
            </w:pPr>
            <w:hyperlink r:id="rId101" w:history="1">
              <w:r w:rsidR="00632D32" w:rsidRPr="00632D32">
                <w:rPr>
                  <w:rStyle w:val="Hyperlink"/>
                  <w:rFonts w:cstheme="minorHAnsi"/>
                  <w:b/>
                  <w:u w:val="single"/>
                </w:rPr>
                <w:t>WSS Policy 1020, Revision 1</w:t>
              </w:r>
            </w:hyperlink>
            <w:r w:rsidR="00632D32">
              <w:rPr>
                <w:rFonts w:cstheme="minorHAnsi"/>
                <w:b/>
              </w:rPr>
              <w:t xml:space="preserve"> </w:t>
            </w:r>
            <w:r w:rsidR="00632D32" w:rsidRPr="00632D32">
              <w:rPr>
                <w:rFonts w:cstheme="minorHAnsi"/>
                <w:bCs/>
              </w:rPr>
              <w:t>Data Integrity and Performance Policy and Handbook</w:t>
            </w:r>
          </w:p>
          <w:p w14:paraId="4E263BA4" w14:textId="65B54F90" w:rsidR="006A15B1" w:rsidRPr="0044393B" w:rsidRDefault="00A529DF" w:rsidP="0044393B">
            <w:pPr>
              <w:ind w:left="720"/>
              <w:rPr>
                <w:rFonts w:cstheme="minorHAnsi"/>
              </w:rPr>
            </w:pPr>
            <w:hyperlink r:id="rId102" w:history="1">
              <w:r w:rsidR="006B1C99" w:rsidRPr="003A76F4">
                <w:rPr>
                  <w:rStyle w:val="Hyperlink"/>
                  <w:rFonts w:cstheme="minorHAnsi"/>
                  <w:b/>
                  <w:bCs/>
                  <w:u w:val="single"/>
                </w:rPr>
                <w:t>WSS Policy 1023, Revision 1</w:t>
              </w:r>
            </w:hyperlink>
            <w:r w:rsidR="006B1C99">
              <w:t xml:space="preserve"> </w:t>
            </w:r>
            <w:r w:rsidR="002A73BE" w:rsidRPr="006B1C99">
              <w:rPr>
                <w:rStyle w:val="Hyperlink"/>
                <w:rFonts w:cstheme="minorHAnsi"/>
                <w:color w:val="auto"/>
              </w:rPr>
              <w:t>Co</w:t>
            </w:r>
            <w:r w:rsidR="002A73BE" w:rsidRPr="0044393B">
              <w:rPr>
                <w:rStyle w:val="Hyperlink"/>
                <w:rFonts w:cstheme="minorHAnsi"/>
                <w:color w:val="auto"/>
              </w:rPr>
              <w:t>-Enrolled Integrated Service Delivery Policy and Operations Guide</w:t>
            </w:r>
            <w:r w:rsidR="002A73BE" w:rsidRPr="0044393B">
              <w:rPr>
                <w:rStyle w:val="Hyperlink"/>
                <w:rFonts w:cstheme="minorHAnsi"/>
                <w:color w:val="auto"/>
                <w:u w:val="single"/>
              </w:rPr>
              <w:t xml:space="preserve"> </w:t>
            </w:r>
            <w:r w:rsidR="006A15B1" w:rsidRPr="0044393B">
              <w:rPr>
                <w:rFonts w:cstheme="minorHAnsi"/>
                <w:u w:val="single"/>
              </w:rPr>
              <w:t xml:space="preserve"> </w:t>
            </w:r>
          </w:p>
          <w:p w14:paraId="2BCAE7CF" w14:textId="0BA71509" w:rsidR="006A15B1" w:rsidRDefault="00A529DF" w:rsidP="00632D32">
            <w:pPr>
              <w:ind w:left="720"/>
              <w:rPr>
                <w:rFonts w:cstheme="minorHAnsi"/>
              </w:rPr>
            </w:pPr>
            <w:hyperlink r:id="rId103" w:history="1">
              <w:r w:rsidR="006A15B1" w:rsidRPr="003A76F4">
                <w:rPr>
                  <w:rStyle w:val="Hyperlink"/>
                  <w:rFonts w:cstheme="minorHAnsi"/>
                  <w:b/>
                  <w:bCs/>
                  <w:u w:val="single"/>
                </w:rPr>
                <w:t>WIN 0120</w:t>
              </w:r>
            </w:hyperlink>
            <w:r w:rsidR="006A15B1" w:rsidRPr="0044393B">
              <w:rPr>
                <w:rFonts w:cstheme="minorHAnsi"/>
              </w:rPr>
              <w:t xml:space="preserve"> </w:t>
            </w:r>
            <w:r w:rsidR="00DA3EE8" w:rsidRPr="00DA3EE8">
              <w:rPr>
                <w:rFonts w:cstheme="minorHAnsi"/>
              </w:rPr>
              <w:t>Procedures for Adding Participants to Efforts to Outcomes (ETO) When Individuals Are Unable</w:t>
            </w:r>
            <w:r w:rsidR="00632D32">
              <w:rPr>
                <w:rFonts w:cstheme="minorHAnsi"/>
              </w:rPr>
              <w:t xml:space="preserve"> </w:t>
            </w:r>
            <w:r w:rsidR="00DA3EE8" w:rsidRPr="00DA3EE8">
              <w:rPr>
                <w:rFonts w:cstheme="minorHAnsi"/>
              </w:rPr>
              <w:t>to Create a WSWA Account</w:t>
            </w:r>
          </w:p>
          <w:p w14:paraId="5A999E2C" w14:textId="77777777" w:rsidR="00DA3EE8" w:rsidRDefault="00A529DF" w:rsidP="0044393B">
            <w:pPr>
              <w:ind w:left="720"/>
            </w:pPr>
            <w:hyperlink r:id="rId104" w:history="1">
              <w:r w:rsidR="00DA3EE8" w:rsidRPr="003A76F4">
                <w:rPr>
                  <w:rStyle w:val="Hyperlink"/>
                  <w:rFonts w:cstheme="minorHAnsi"/>
                  <w:b/>
                  <w:bCs/>
                  <w:u w:val="single"/>
                </w:rPr>
                <w:t xml:space="preserve">WIN0081, </w:t>
              </w:r>
              <w:proofErr w:type="gramStart"/>
              <w:r w:rsidR="00DA3EE8" w:rsidRPr="003A76F4">
                <w:rPr>
                  <w:rStyle w:val="Hyperlink"/>
                  <w:rFonts w:cstheme="minorHAnsi"/>
                  <w:b/>
                  <w:bCs/>
                  <w:u w:val="single"/>
                </w:rPr>
                <w:t>Change</w:t>
              </w:r>
              <w:proofErr w:type="gramEnd"/>
              <w:r w:rsidR="00DA3EE8" w:rsidRPr="003A76F4">
                <w:rPr>
                  <w:rStyle w:val="Hyperlink"/>
                  <w:rFonts w:cstheme="minorHAnsi"/>
                  <w:b/>
                  <w:bCs/>
                  <w:u w:val="single"/>
                </w:rPr>
                <w:t xml:space="preserve"> 4</w:t>
              </w:r>
            </w:hyperlink>
            <w:r w:rsidR="00DA3EE8">
              <w:t xml:space="preserve"> WIOA Title I and III procedures for creating accounts in Efforts to Outcomes (ETO) when individuals do not provide Social Security Numbers.</w:t>
            </w:r>
          </w:p>
          <w:p w14:paraId="222BB2E3" w14:textId="6672E135" w:rsidR="006A15B1" w:rsidRPr="0044393B" w:rsidRDefault="00A529DF" w:rsidP="0044393B">
            <w:pPr>
              <w:ind w:left="720"/>
              <w:rPr>
                <w:rFonts w:cstheme="minorHAnsi"/>
              </w:rPr>
            </w:pPr>
            <w:hyperlink r:id="rId105" w:history="1">
              <w:r w:rsidR="00DC2E15" w:rsidRPr="003A76F4">
                <w:rPr>
                  <w:rStyle w:val="Hyperlink"/>
                  <w:rFonts w:cstheme="minorHAnsi"/>
                  <w:b/>
                  <w:bCs/>
                  <w:u w:val="single"/>
                </w:rPr>
                <w:t>WIN 0082, Change 1</w:t>
              </w:r>
            </w:hyperlink>
            <w:r w:rsidR="006A15B1" w:rsidRPr="0044393B">
              <w:rPr>
                <w:rFonts w:cstheme="minorHAnsi"/>
              </w:rPr>
              <w:t xml:space="preserve"> Real Time Data Entry</w:t>
            </w:r>
          </w:p>
          <w:p w14:paraId="1106274B" w14:textId="71634648" w:rsidR="006A15B1" w:rsidRDefault="00A529DF" w:rsidP="00576CB4">
            <w:pPr>
              <w:ind w:left="720"/>
              <w:rPr>
                <w:rFonts w:cstheme="minorHAnsi"/>
              </w:rPr>
            </w:pPr>
            <w:hyperlink r:id="rId106" w:history="1">
              <w:r w:rsidR="00B652DF">
                <w:rPr>
                  <w:rStyle w:val="Hyperlink"/>
                  <w:rFonts w:cstheme="minorHAnsi"/>
                  <w:b/>
                  <w:bCs/>
                  <w:u w:val="single"/>
                </w:rPr>
                <w:t>WSS Policy 1003, Revision 5</w:t>
              </w:r>
            </w:hyperlink>
            <w:r w:rsidR="00646894" w:rsidRPr="0044393B">
              <w:rPr>
                <w:rFonts w:cstheme="minorHAnsi"/>
              </w:rPr>
              <w:t xml:space="preserve"> Data Element Validation</w:t>
            </w:r>
            <w:r w:rsidR="00462E40">
              <w:rPr>
                <w:rFonts w:cstheme="minorHAnsi"/>
              </w:rPr>
              <w:t xml:space="preserve"> and </w:t>
            </w:r>
            <w:hyperlink r:id="rId107" w:history="1">
              <w:r w:rsidR="00462E40" w:rsidRPr="003A76F4">
                <w:rPr>
                  <w:rStyle w:val="Hyperlink"/>
                  <w:rFonts w:cstheme="minorHAnsi"/>
                  <w:b/>
                  <w:bCs/>
                  <w:u w:val="single"/>
                </w:rPr>
                <w:t>Attachment B</w:t>
              </w:r>
            </w:hyperlink>
            <w:r w:rsidR="00462E40">
              <w:rPr>
                <w:rFonts w:cstheme="minorHAnsi"/>
              </w:rPr>
              <w:t xml:space="preserve"> Required Data Elements by Program and Source Documentation</w:t>
            </w:r>
          </w:p>
          <w:p w14:paraId="4A5AFE1C" w14:textId="4555A99E" w:rsidR="00B652DF" w:rsidRPr="00497C7C" w:rsidRDefault="00B652DF" w:rsidP="00B652DF">
            <w:pPr>
              <w:rPr>
                <w:rFonts w:ascii="Calibri" w:hAnsi="Calibri" w:cs="Calibri"/>
                <w:b/>
                <w:bCs/>
                <w:color w:val="0563C1"/>
              </w:rPr>
            </w:pPr>
            <w:r w:rsidRPr="00B652DF">
              <w:rPr>
                <w:rFonts w:ascii="Calibri" w:hAnsi="Calibri" w:cs="Calibri"/>
                <w:color w:val="0563C1"/>
              </w:rPr>
              <w:t xml:space="preserve">               </w:t>
            </w:r>
            <w:hyperlink r:id="rId108" w:history="1">
              <w:r w:rsidR="00CC5FFB">
                <w:rPr>
                  <w:rStyle w:val="Hyperlink"/>
                  <w:rFonts w:ascii="Calibri" w:hAnsi="Calibri" w:cs="Calibri"/>
                  <w:b/>
                  <w:bCs/>
                  <w:u w:val="single"/>
                </w:rPr>
                <w:t>Wagner-Peyser-Full Registration Desk Aid</w:t>
              </w:r>
            </w:hyperlink>
            <w:r w:rsidR="00497C7C">
              <w:rPr>
                <w:rStyle w:val="Hyperlink"/>
                <w:rFonts w:ascii="Calibri" w:hAnsi="Calibri" w:cs="Calibri"/>
                <w:b/>
                <w:bCs/>
                <w:u w:val="single"/>
              </w:rPr>
              <w:t xml:space="preserve"> </w:t>
            </w:r>
          </w:p>
          <w:p w14:paraId="404E9AC9" w14:textId="77777777" w:rsidR="00316FF9" w:rsidRPr="00B652DF" w:rsidRDefault="00316FF9" w:rsidP="00B652DF">
            <w:pPr>
              <w:rPr>
                <w:rFonts w:ascii="Calibri" w:hAnsi="Calibri" w:cs="Calibri"/>
                <w:b/>
                <w:bCs/>
                <w:color w:val="0563C1"/>
                <w:u w:val="single"/>
              </w:rPr>
            </w:pPr>
          </w:p>
          <w:p w14:paraId="19D25185" w14:textId="167491B2" w:rsidR="006A15B1" w:rsidRPr="00DF1799" w:rsidRDefault="006A15B1" w:rsidP="00DF1799">
            <w:pPr>
              <w:shd w:val="clear" w:color="auto" w:fill="E7E6E6" w:themeFill="background2"/>
              <w:rPr>
                <w:rFonts w:asciiTheme="majorHAnsi" w:eastAsia="Times New Roman" w:hAnsiTheme="majorHAnsi" w:cs="Arial"/>
                <w:b/>
                <w:sz w:val="32"/>
                <w:szCs w:val="32"/>
              </w:rPr>
            </w:pPr>
            <w:r w:rsidRPr="00DF1799">
              <w:rPr>
                <w:rFonts w:asciiTheme="majorHAnsi" w:hAnsiTheme="majorHAnsi" w:cs="Arial"/>
                <w:b/>
                <w:sz w:val="32"/>
                <w:szCs w:val="32"/>
              </w:rPr>
              <w:t xml:space="preserve">3. LABOR EXCHANGE SERVICES – </w:t>
            </w:r>
            <w:r w:rsidRPr="00DF1799">
              <w:rPr>
                <w:rFonts w:asciiTheme="majorHAnsi" w:eastAsia="Times New Roman" w:hAnsiTheme="majorHAnsi" w:cs="Arial"/>
                <w:b/>
                <w:sz w:val="32"/>
                <w:szCs w:val="32"/>
              </w:rPr>
              <w:t>PRIORITY OF SERVICE</w:t>
            </w:r>
          </w:p>
          <w:p w14:paraId="045D83F0" w14:textId="03958746" w:rsidR="00DF1799" w:rsidRPr="00DF1799" w:rsidRDefault="00DF1799" w:rsidP="006A15B1">
            <w:pPr>
              <w:tabs>
                <w:tab w:val="left" w:pos="1570"/>
              </w:tabs>
              <w:jc w:val="both"/>
              <w:rPr>
                <w:rFonts w:asciiTheme="majorHAnsi" w:hAnsiTheme="majorHAnsi" w:cstheme="majorHAnsi"/>
                <w:b/>
                <w:bCs/>
                <w:i/>
                <w:iCs/>
                <w:sz w:val="28"/>
                <w:szCs w:val="28"/>
              </w:rPr>
            </w:pPr>
            <w:r w:rsidRPr="00DF1799">
              <w:rPr>
                <w:rFonts w:asciiTheme="majorHAnsi" w:hAnsiTheme="majorHAnsi" w:cstheme="majorHAnsi"/>
                <w:b/>
                <w:bCs/>
                <w:i/>
                <w:iCs/>
                <w:sz w:val="28"/>
                <w:szCs w:val="28"/>
              </w:rPr>
              <w:t xml:space="preserve">Elements 3A FRONT END INTAKE/TRIAGE </w:t>
            </w:r>
          </w:p>
          <w:p w14:paraId="5E5CB110" w14:textId="2ADD8E8C" w:rsidR="00DF1799" w:rsidRPr="00DC2E15" w:rsidRDefault="00A529DF" w:rsidP="00DF1799">
            <w:pPr>
              <w:tabs>
                <w:tab w:val="left" w:pos="1570"/>
              </w:tabs>
              <w:ind w:left="720"/>
              <w:jc w:val="both"/>
              <w:rPr>
                <w:rFonts w:cstheme="minorHAnsi"/>
              </w:rPr>
            </w:pPr>
            <w:hyperlink r:id="rId109" w:history="1">
              <w:r w:rsidR="00DC2E15" w:rsidRPr="00DC2E15">
                <w:rPr>
                  <w:rStyle w:val="Hyperlink"/>
                  <w:rFonts w:cstheme="minorHAnsi"/>
                  <w:b/>
                  <w:bCs/>
                  <w:u w:val="single"/>
                </w:rPr>
                <w:t>20 CFR 652.100</w:t>
              </w:r>
            </w:hyperlink>
            <w:r w:rsidR="00DF1799" w:rsidRPr="00DC2E15">
              <w:rPr>
                <w:rFonts w:cstheme="minorHAnsi"/>
                <w:b/>
                <w:bCs/>
                <w:u w:val="single"/>
              </w:rPr>
              <w:t xml:space="preserve"> </w:t>
            </w:r>
            <w:r w:rsidR="00DC2E15">
              <w:rPr>
                <w:rFonts w:cstheme="minorHAnsi"/>
              </w:rPr>
              <w:t>Services for Veterans</w:t>
            </w:r>
          </w:p>
          <w:p w14:paraId="139E2327" w14:textId="6C9ACEB7" w:rsidR="00567625" w:rsidRPr="00DF1799" w:rsidRDefault="00A529DF" w:rsidP="00462E40">
            <w:pPr>
              <w:tabs>
                <w:tab w:val="left" w:pos="1570"/>
              </w:tabs>
              <w:ind w:left="720"/>
              <w:jc w:val="both"/>
              <w:rPr>
                <w:rFonts w:cstheme="minorHAnsi"/>
                <w:b/>
                <w:bCs/>
              </w:rPr>
            </w:pPr>
            <w:hyperlink r:id="rId110" w:history="1">
              <w:r w:rsidR="00802E5C" w:rsidRPr="00183F49">
                <w:rPr>
                  <w:rStyle w:val="Hyperlink"/>
                  <w:rFonts w:cstheme="minorHAnsi"/>
                  <w:b/>
                  <w:bCs/>
                  <w:u w:val="single"/>
                </w:rPr>
                <w:t>WSS Policy 1009, Revision 3</w:t>
              </w:r>
            </w:hyperlink>
            <w:r w:rsidR="00802E5C">
              <w:t xml:space="preserve"> </w:t>
            </w:r>
            <w:r w:rsidR="00DF1799" w:rsidRPr="00802E5C">
              <w:rPr>
                <w:rFonts w:cstheme="minorHAnsi"/>
              </w:rPr>
              <w:t>Priority of Service of Veterans and Eligible Spouses</w:t>
            </w:r>
          </w:p>
          <w:p w14:paraId="1D0DD62D" w14:textId="3283F998" w:rsidR="00082E69" w:rsidRDefault="00A529DF" w:rsidP="004D4619">
            <w:pPr>
              <w:ind w:left="720"/>
              <w:rPr>
                <w:rFonts w:cstheme="minorHAnsi"/>
              </w:rPr>
            </w:pPr>
            <w:hyperlink r:id="rId111" w:history="1">
              <w:r w:rsidR="00082E69" w:rsidRPr="00082E69">
                <w:rPr>
                  <w:rStyle w:val="Hyperlink"/>
                  <w:rFonts w:cstheme="minorHAnsi"/>
                  <w:b/>
                  <w:bCs/>
                  <w:u w:val="single"/>
                </w:rPr>
                <w:t>WSS Policy 1022, Revision 1</w:t>
              </w:r>
            </w:hyperlink>
            <w:r w:rsidR="00082E69" w:rsidRPr="00082E69">
              <w:rPr>
                <w:rFonts w:cstheme="minorHAnsi"/>
              </w:rPr>
              <w:t xml:space="preserve"> </w:t>
            </w:r>
            <w:r w:rsidR="00082E69">
              <w:rPr>
                <w:rFonts w:cstheme="minorHAnsi"/>
              </w:rPr>
              <w:t>Referral of Veterans/Other Population with SBE to DVOP</w:t>
            </w:r>
          </w:p>
          <w:p w14:paraId="32254888" w14:textId="4C31A6CE" w:rsidR="00B652DF" w:rsidRDefault="00A529DF" w:rsidP="00B652DF">
            <w:pPr>
              <w:ind w:left="720"/>
              <w:rPr>
                <w:rFonts w:cstheme="minorHAnsi"/>
                <w:b/>
                <w:bCs/>
                <w:u w:val="single"/>
              </w:rPr>
            </w:pPr>
            <w:hyperlink r:id="rId112" w:history="1">
              <w:r w:rsidR="00B652DF" w:rsidRPr="00B652DF">
                <w:rPr>
                  <w:rStyle w:val="Hyperlink"/>
                  <w:rFonts w:cstheme="minorHAnsi"/>
                  <w:b/>
                  <w:bCs/>
                  <w:u w:val="single"/>
                </w:rPr>
                <w:t>WP Policy 4030, Services for Veterans</w:t>
              </w:r>
            </w:hyperlink>
          </w:p>
          <w:p w14:paraId="76AD6B7F" w14:textId="77777777" w:rsidR="00316FF9" w:rsidRPr="00B652DF" w:rsidRDefault="00316FF9" w:rsidP="00B652DF">
            <w:pPr>
              <w:ind w:left="720"/>
              <w:rPr>
                <w:rFonts w:cstheme="minorHAnsi"/>
                <w:b/>
                <w:bCs/>
                <w:u w:val="single"/>
              </w:rPr>
            </w:pPr>
          </w:p>
          <w:p w14:paraId="5726D87D" w14:textId="08ADC8C4" w:rsidR="00D33FC3" w:rsidRPr="00D33FC3" w:rsidRDefault="006A15B1" w:rsidP="00D33FC3">
            <w:pPr>
              <w:shd w:val="clear" w:color="auto" w:fill="E7E6E6" w:themeFill="background2"/>
              <w:rPr>
                <w:rFonts w:asciiTheme="majorHAnsi" w:hAnsiTheme="majorHAnsi" w:cstheme="majorHAnsi"/>
                <w:b/>
                <w:sz w:val="32"/>
                <w:szCs w:val="32"/>
              </w:rPr>
            </w:pPr>
            <w:r w:rsidRPr="00DF1799">
              <w:rPr>
                <w:rFonts w:asciiTheme="majorHAnsi" w:hAnsiTheme="majorHAnsi" w:cstheme="majorHAnsi"/>
                <w:b/>
                <w:sz w:val="32"/>
                <w:szCs w:val="32"/>
              </w:rPr>
              <w:t>4. LABOR EXCHANGE SERVICES</w:t>
            </w:r>
            <w:r w:rsidR="00316FF9">
              <w:rPr>
                <w:rFonts w:asciiTheme="majorHAnsi" w:hAnsiTheme="majorHAnsi" w:cstheme="majorHAnsi"/>
                <w:b/>
                <w:sz w:val="32"/>
                <w:szCs w:val="32"/>
              </w:rPr>
              <w:t>--Documentation</w:t>
            </w:r>
          </w:p>
          <w:p w14:paraId="11C86F06" w14:textId="46B78988" w:rsidR="00D33FC3" w:rsidRPr="00D33FC3" w:rsidRDefault="00D33FC3" w:rsidP="006A15B1">
            <w:pPr>
              <w:tabs>
                <w:tab w:val="left" w:pos="1570"/>
              </w:tabs>
              <w:jc w:val="both"/>
              <w:rPr>
                <w:rFonts w:asciiTheme="majorHAnsi" w:hAnsiTheme="majorHAnsi" w:cstheme="majorHAnsi"/>
                <w:b/>
                <w:bCs/>
                <w:i/>
                <w:iCs/>
                <w:sz w:val="28"/>
                <w:szCs w:val="28"/>
              </w:rPr>
            </w:pPr>
            <w:r w:rsidRPr="00D33FC3">
              <w:rPr>
                <w:rFonts w:asciiTheme="majorHAnsi" w:hAnsiTheme="majorHAnsi" w:cstheme="majorHAnsi"/>
                <w:b/>
                <w:bCs/>
                <w:i/>
                <w:iCs/>
                <w:sz w:val="28"/>
                <w:szCs w:val="28"/>
              </w:rPr>
              <w:t xml:space="preserve">Elements 4A-4C DESK SIDE (INDIVIDUAL) OR GROUP </w:t>
            </w:r>
          </w:p>
          <w:p w14:paraId="2191E96A" w14:textId="47977AA9" w:rsidR="00D33FC3" w:rsidRDefault="00A529DF" w:rsidP="00D33FC3">
            <w:pPr>
              <w:tabs>
                <w:tab w:val="left" w:pos="1570"/>
              </w:tabs>
              <w:ind w:left="720"/>
              <w:jc w:val="both"/>
              <w:rPr>
                <w:rFonts w:cstheme="minorHAnsi"/>
                <w:b/>
                <w:bCs/>
              </w:rPr>
            </w:pPr>
            <w:hyperlink r:id="rId113" w:history="1">
              <w:r w:rsidR="00DC2E15" w:rsidRPr="00367F7F">
                <w:rPr>
                  <w:rStyle w:val="Hyperlink"/>
                  <w:rFonts w:cstheme="minorHAnsi"/>
                  <w:b/>
                  <w:bCs/>
                  <w:u w:val="single"/>
                </w:rPr>
                <w:t>20 CFR 652</w:t>
              </w:r>
            </w:hyperlink>
            <w:r w:rsidR="00DC2E15">
              <w:rPr>
                <w:rStyle w:val="Hyperlink"/>
                <w:rFonts w:cstheme="minorHAnsi"/>
                <w:b/>
                <w:bCs/>
              </w:rPr>
              <w:t xml:space="preserve"> </w:t>
            </w:r>
            <w:r w:rsidR="00DC2E15" w:rsidRPr="00DC2E15">
              <w:rPr>
                <w:rStyle w:val="Hyperlink"/>
                <w:rFonts w:cstheme="minorHAnsi"/>
                <w:color w:val="auto"/>
              </w:rPr>
              <w:t>Establishment and Functioning of State Employment Service</w:t>
            </w:r>
            <w:r w:rsidR="00D33FC3" w:rsidRPr="00DC2E15">
              <w:rPr>
                <w:rFonts w:cstheme="minorHAnsi"/>
                <w:b/>
                <w:bCs/>
              </w:rPr>
              <w:t xml:space="preserve"> </w:t>
            </w:r>
          </w:p>
          <w:p w14:paraId="6FE7E0B7" w14:textId="77777777" w:rsidR="00632D32" w:rsidRDefault="00A529DF" w:rsidP="00632D32">
            <w:pPr>
              <w:ind w:left="720"/>
              <w:rPr>
                <w:rFonts w:cstheme="minorHAnsi"/>
              </w:rPr>
            </w:pPr>
            <w:hyperlink r:id="rId114" w:history="1">
              <w:r w:rsidR="00632D32" w:rsidRPr="003A76F4">
                <w:rPr>
                  <w:rStyle w:val="Hyperlink"/>
                  <w:rFonts w:cstheme="minorHAnsi"/>
                  <w:b/>
                  <w:bCs/>
                  <w:u w:val="single"/>
                </w:rPr>
                <w:t>WIN 0082, Change 1</w:t>
              </w:r>
            </w:hyperlink>
            <w:r w:rsidR="00632D32" w:rsidRPr="0044393B">
              <w:rPr>
                <w:rFonts w:cstheme="minorHAnsi"/>
              </w:rPr>
              <w:t xml:space="preserve"> Real Time Data Entry</w:t>
            </w:r>
          </w:p>
          <w:p w14:paraId="0125AA32" w14:textId="58D5A697" w:rsidR="00316FF9" w:rsidRDefault="00A529DF" w:rsidP="00316FF9">
            <w:pPr>
              <w:ind w:left="720"/>
              <w:rPr>
                <w:rFonts w:cstheme="minorHAnsi"/>
              </w:rPr>
            </w:pPr>
            <w:hyperlink r:id="rId115" w:history="1">
              <w:r w:rsidR="00316FF9" w:rsidRPr="00316FF9">
                <w:rPr>
                  <w:rStyle w:val="Hyperlink"/>
                  <w:rFonts w:cstheme="minorHAnsi"/>
                  <w:b/>
                  <w:bCs/>
                  <w:u w:val="single"/>
                </w:rPr>
                <w:t>WIN 0023, Change 2</w:t>
              </w:r>
            </w:hyperlink>
            <w:r w:rsidR="00316FF9">
              <w:rPr>
                <w:rFonts w:cstheme="minorHAnsi"/>
              </w:rPr>
              <w:t xml:space="preserve"> Management of Medical and Disability Related Information</w:t>
            </w:r>
          </w:p>
          <w:p w14:paraId="78D47561" w14:textId="77777777" w:rsidR="00D226CD" w:rsidRDefault="00A529DF" w:rsidP="00567625">
            <w:pPr>
              <w:tabs>
                <w:tab w:val="left" w:pos="1570"/>
              </w:tabs>
              <w:ind w:left="720"/>
              <w:jc w:val="both"/>
              <w:rPr>
                <w:rFonts w:ascii="Calibri" w:eastAsia="Times New Roman" w:hAnsi="Calibri" w:cs="Calibri"/>
                <w:b/>
                <w:bCs/>
                <w:color w:val="000000"/>
              </w:rPr>
            </w:pPr>
            <w:hyperlink r:id="rId116" w:history="1">
              <w:r w:rsidR="00567625" w:rsidRPr="00183F49">
                <w:rPr>
                  <w:rStyle w:val="Hyperlink"/>
                  <w:rFonts w:ascii="Calibri" w:eastAsia="Times New Roman" w:hAnsi="Calibri" w:cs="Calibri"/>
                  <w:b/>
                  <w:bCs/>
                  <w:u w:val="single"/>
                </w:rPr>
                <w:t>WSS Policy 1020 Handbook, Section 1</w:t>
              </w:r>
            </w:hyperlink>
            <w:r w:rsidR="00567625">
              <w:rPr>
                <w:rFonts w:ascii="Calibri" w:eastAsia="Times New Roman" w:hAnsi="Calibri" w:cs="Calibri"/>
                <w:b/>
                <w:bCs/>
                <w:color w:val="000000"/>
              </w:rPr>
              <w:t xml:space="preserve"> </w:t>
            </w:r>
            <w:r w:rsidR="00D226CD" w:rsidRPr="00D226CD">
              <w:rPr>
                <w:rFonts w:ascii="Calibri" w:eastAsia="Times New Roman" w:hAnsi="Calibri" w:cs="Calibri"/>
                <w:color w:val="000000"/>
              </w:rPr>
              <w:t>Data Integrity and Performance Policy Handbook</w:t>
            </w:r>
          </w:p>
          <w:p w14:paraId="214EE1C8" w14:textId="4E200D05" w:rsidR="00D33FC3" w:rsidRDefault="00A529DF" w:rsidP="00316FF9">
            <w:pPr>
              <w:tabs>
                <w:tab w:val="left" w:pos="1570"/>
              </w:tabs>
              <w:ind w:left="720"/>
              <w:jc w:val="both"/>
            </w:pPr>
            <w:hyperlink r:id="rId117" w:history="1">
              <w:r w:rsidR="00B4640E">
                <w:rPr>
                  <w:rStyle w:val="Hyperlink"/>
                  <w:rFonts w:cstheme="minorHAnsi"/>
                  <w:b/>
                  <w:bCs/>
                  <w:u w:val="single"/>
                </w:rPr>
                <w:t>WorkSource Services Catalog</w:t>
              </w:r>
            </w:hyperlink>
            <w:r w:rsidR="00D226CD" w:rsidRPr="00183F49">
              <w:rPr>
                <w:rStyle w:val="Hyperlink"/>
                <w:rFonts w:cstheme="minorHAnsi"/>
                <w:b/>
                <w:bCs/>
                <w:u w:val="single"/>
              </w:rPr>
              <w:t xml:space="preserve"> </w:t>
            </w:r>
          </w:p>
          <w:p w14:paraId="26D2113E" w14:textId="77777777" w:rsidR="00316FF9" w:rsidRPr="00316FF9" w:rsidRDefault="00316FF9" w:rsidP="00316FF9">
            <w:pPr>
              <w:tabs>
                <w:tab w:val="left" w:pos="1570"/>
              </w:tabs>
              <w:ind w:left="720"/>
              <w:jc w:val="both"/>
              <w:rPr>
                <w:rFonts w:cstheme="minorHAnsi"/>
                <w:b/>
                <w:bCs/>
                <w:u w:val="single"/>
              </w:rPr>
            </w:pPr>
          </w:p>
          <w:p w14:paraId="5B253642" w14:textId="66DBD290" w:rsidR="0034402C" w:rsidRPr="00DF1799" w:rsidRDefault="006A15B1" w:rsidP="00D33FC3">
            <w:pPr>
              <w:shd w:val="clear" w:color="auto" w:fill="E7E6E6" w:themeFill="background2"/>
              <w:contextualSpacing/>
              <w:rPr>
                <w:rFonts w:asciiTheme="majorHAnsi" w:hAnsiTheme="majorHAnsi" w:cs="Cambria Math"/>
                <w:b/>
                <w:bCs/>
                <w:sz w:val="32"/>
                <w:szCs w:val="32"/>
              </w:rPr>
            </w:pPr>
            <w:r w:rsidRPr="00DF1799">
              <w:rPr>
                <w:rFonts w:asciiTheme="majorHAnsi" w:hAnsiTheme="majorHAnsi" w:cs="Cambria Math"/>
                <w:b/>
                <w:bCs/>
                <w:sz w:val="32"/>
                <w:szCs w:val="32"/>
              </w:rPr>
              <w:t>5. UNEMPLOYMENT CLAIMANT SERVICES</w:t>
            </w:r>
          </w:p>
          <w:p w14:paraId="7F683664" w14:textId="6B02D2BD" w:rsidR="00003114" w:rsidRDefault="00D33FC3" w:rsidP="00003114">
            <w:pPr>
              <w:rPr>
                <w:rFonts w:asciiTheme="majorHAnsi" w:hAnsiTheme="majorHAnsi" w:cstheme="majorHAnsi"/>
                <w:b/>
                <w:bCs/>
                <w:i/>
                <w:iCs/>
                <w:sz w:val="28"/>
                <w:szCs w:val="28"/>
              </w:rPr>
            </w:pPr>
            <w:r w:rsidRPr="00D33FC3">
              <w:rPr>
                <w:rFonts w:asciiTheme="majorHAnsi" w:hAnsiTheme="majorHAnsi" w:cstheme="majorHAnsi"/>
                <w:b/>
                <w:bCs/>
                <w:i/>
                <w:iCs/>
                <w:sz w:val="28"/>
                <w:szCs w:val="28"/>
              </w:rPr>
              <w:t xml:space="preserve">Elements 5A-5B UI ELIGIBILITY </w:t>
            </w:r>
            <w:r w:rsidR="00003114" w:rsidRPr="00D33FC3">
              <w:rPr>
                <w:rFonts w:asciiTheme="majorHAnsi" w:hAnsiTheme="majorHAnsi" w:cstheme="majorHAnsi"/>
                <w:b/>
                <w:bCs/>
                <w:i/>
                <w:iCs/>
                <w:sz w:val="28"/>
                <w:szCs w:val="28"/>
              </w:rPr>
              <w:t xml:space="preserve"> </w:t>
            </w:r>
          </w:p>
          <w:p w14:paraId="63FF84EC" w14:textId="32E23EC4" w:rsidR="00D33FC3" w:rsidRPr="00D33FC3" w:rsidRDefault="00A529DF" w:rsidP="00D33FC3">
            <w:pPr>
              <w:ind w:left="720"/>
              <w:contextualSpacing/>
              <w:rPr>
                <w:rFonts w:cstheme="minorHAnsi"/>
                <w:b/>
                <w:bCs/>
              </w:rPr>
            </w:pPr>
            <w:hyperlink r:id="rId118" w:history="1">
              <w:r w:rsidR="00961FF5" w:rsidRPr="002F0E4A">
                <w:rPr>
                  <w:rStyle w:val="Hyperlink"/>
                  <w:rFonts w:cstheme="minorHAnsi"/>
                  <w:b/>
                  <w:bCs/>
                  <w:u w:val="single"/>
                </w:rPr>
                <w:t>WIN 0090, Change 2</w:t>
              </w:r>
            </w:hyperlink>
            <w:r w:rsidR="00D33FC3" w:rsidRPr="002F0E4A">
              <w:rPr>
                <w:rFonts w:cstheme="minorHAnsi"/>
                <w:b/>
                <w:bCs/>
              </w:rPr>
              <w:t xml:space="preserve"> </w:t>
            </w:r>
            <w:r w:rsidR="00D33FC3" w:rsidRPr="002F0E4A">
              <w:rPr>
                <w:rFonts w:cstheme="minorHAnsi"/>
              </w:rPr>
              <w:t>Assisting Unemployment Insurance Claimants in WorkSource Offices</w:t>
            </w:r>
            <w:r w:rsidR="00D33FC3" w:rsidRPr="00D33FC3">
              <w:rPr>
                <w:rFonts w:cstheme="minorHAnsi"/>
                <w:b/>
                <w:bCs/>
              </w:rPr>
              <w:t xml:space="preserve"> </w:t>
            </w:r>
          </w:p>
          <w:p w14:paraId="71B5BC23" w14:textId="6F72560B" w:rsidR="00D33FC3" w:rsidRDefault="00A529DF" w:rsidP="00D33FC3">
            <w:pPr>
              <w:ind w:left="720"/>
            </w:pPr>
            <w:hyperlink r:id="rId119" w:history="1">
              <w:r w:rsidR="00DC2E15" w:rsidRPr="00367F7F">
                <w:rPr>
                  <w:rStyle w:val="Hyperlink"/>
                  <w:b/>
                  <w:bCs/>
                  <w:u w:val="single"/>
                </w:rPr>
                <w:t>UIPL NO. 14.18, Section 5-6</w:t>
              </w:r>
            </w:hyperlink>
            <w:r w:rsidR="00D33FC3" w:rsidRPr="00D33FC3">
              <w:rPr>
                <w:b/>
                <w:bCs/>
              </w:rPr>
              <w:t xml:space="preserve"> </w:t>
            </w:r>
            <w:r w:rsidR="00DC2E15">
              <w:t>Unemployment Insurance and Workforce Innovation Opportunity Act</w:t>
            </w:r>
          </w:p>
          <w:p w14:paraId="0BB89551" w14:textId="77777777" w:rsidR="00254B55" w:rsidRDefault="00254B55" w:rsidP="00D33FC3">
            <w:pPr>
              <w:ind w:left="720"/>
            </w:pPr>
          </w:p>
          <w:p w14:paraId="2576A992" w14:textId="598523C3" w:rsidR="00254B55" w:rsidRPr="009C49F8" w:rsidRDefault="00254B55" w:rsidP="00254B55">
            <w:pPr>
              <w:shd w:val="clear" w:color="auto" w:fill="E7E6E6" w:themeFill="background2"/>
              <w:contextualSpacing/>
              <w:rPr>
                <w:rFonts w:asciiTheme="majorHAnsi" w:hAnsiTheme="majorHAnsi" w:cs="Cambria Math"/>
                <w:b/>
                <w:bCs/>
                <w:sz w:val="32"/>
                <w:szCs w:val="32"/>
                <w:highlight w:val="lightGray"/>
              </w:rPr>
            </w:pPr>
            <w:r w:rsidRPr="009C49F8">
              <w:rPr>
                <w:rFonts w:asciiTheme="majorHAnsi" w:hAnsiTheme="majorHAnsi" w:cs="Cambria Math"/>
                <w:b/>
                <w:bCs/>
                <w:sz w:val="32"/>
                <w:szCs w:val="32"/>
                <w:highlight w:val="lightGray"/>
              </w:rPr>
              <w:t>6. AGRICULTURAL RECRUITMENT SYSTEM (FOR ORDER HOLDING OFFICES)</w:t>
            </w:r>
            <w:r w:rsidR="00B652DF" w:rsidRPr="009C49F8">
              <w:rPr>
                <w:rFonts w:asciiTheme="majorHAnsi" w:hAnsiTheme="majorHAnsi" w:cs="Cambria Math"/>
                <w:b/>
                <w:bCs/>
                <w:sz w:val="32"/>
                <w:szCs w:val="32"/>
                <w:highlight w:val="lightGray"/>
              </w:rPr>
              <w:t>-Under Development</w:t>
            </w:r>
          </w:p>
          <w:p w14:paraId="06C6CBB2" w14:textId="77777777" w:rsidR="00FF2111" w:rsidRPr="009C49F8" w:rsidRDefault="00A529DF" w:rsidP="00FF2111">
            <w:pPr>
              <w:ind w:left="720"/>
              <w:rPr>
                <w:rFonts w:cstheme="minorHAnsi"/>
                <w:color w:val="333333"/>
                <w:highlight w:val="lightGray"/>
                <w:shd w:val="clear" w:color="auto" w:fill="FFFFFF"/>
              </w:rPr>
            </w:pPr>
            <w:hyperlink r:id="rId120" w:history="1">
              <w:r w:rsidR="00FF2111" w:rsidRPr="009C49F8">
                <w:rPr>
                  <w:rStyle w:val="Hyperlink"/>
                  <w:rFonts w:cstheme="minorHAnsi"/>
                  <w:b/>
                  <w:bCs/>
                  <w:highlight w:val="lightGray"/>
                  <w:u w:val="single"/>
                  <w:shd w:val="clear" w:color="auto" w:fill="FFFFFF"/>
                </w:rPr>
                <w:t>20 CFR 653.501</w:t>
              </w:r>
            </w:hyperlink>
            <w:r w:rsidR="00FF2111" w:rsidRPr="009C49F8">
              <w:rPr>
                <w:rFonts w:cstheme="minorHAnsi"/>
                <w:b/>
                <w:bCs/>
                <w:color w:val="333333"/>
                <w:highlight w:val="lightGray"/>
                <w:u w:val="single"/>
                <w:shd w:val="clear" w:color="auto" w:fill="FFFFFF"/>
              </w:rPr>
              <w:t xml:space="preserve"> </w:t>
            </w:r>
            <w:r w:rsidR="00FF2111" w:rsidRPr="009C49F8">
              <w:rPr>
                <w:rFonts w:cstheme="minorHAnsi"/>
                <w:color w:val="333333"/>
                <w:highlight w:val="lightGray"/>
                <w:shd w:val="clear" w:color="auto" w:fill="FFFFFF"/>
              </w:rPr>
              <w:t>Requirements for Processing Clearance Orders</w:t>
            </w:r>
          </w:p>
          <w:p w14:paraId="282D3984" w14:textId="335621AA" w:rsidR="00B4640E" w:rsidRPr="009C49F8" w:rsidRDefault="00A529DF" w:rsidP="00FF2111">
            <w:pPr>
              <w:ind w:left="720"/>
              <w:rPr>
                <w:rFonts w:cstheme="minorHAnsi"/>
                <w:b/>
                <w:bCs/>
                <w:color w:val="333333"/>
                <w:highlight w:val="lightGray"/>
                <w:u w:val="single"/>
                <w:shd w:val="clear" w:color="auto" w:fill="FFFFFF"/>
              </w:rPr>
            </w:pPr>
            <w:hyperlink r:id="rId121" w:history="1">
              <w:r w:rsidR="00985597">
                <w:rPr>
                  <w:rStyle w:val="Hyperlink"/>
                  <w:rFonts w:cstheme="minorHAnsi"/>
                  <w:b/>
                  <w:bCs/>
                  <w:highlight w:val="lightGray"/>
                  <w:u w:val="single"/>
                  <w:shd w:val="clear" w:color="auto" w:fill="FFFFFF"/>
                </w:rPr>
                <w:t>Wagner-Peyser Desk Aid/Resources for Clearance Orders (Formerly H-2A)</w:t>
              </w:r>
            </w:hyperlink>
          </w:p>
          <w:p w14:paraId="6C3E950D" w14:textId="7E4A3699" w:rsidR="00FF2111" w:rsidRPr="009C49F8" w:rsidRDefault="00FF2111" w:rsidP="00B4640E">
            <w:pPr>
              <w:ind w:left="720"/>
              <w:rPr>
                <w:rFonts w:ascii="Calibri" w:hAnsi="Calibri" w:cs="Calibri"/>
                <w:sz w:val="18"/>
                <w:szCs w:val="18"/>
                <w:highlight w:val="lightGray"/>
              </w:rPr>
            </w:pPr>
            <w:r w:rsidRPr="009C49F8">
              <w:rPr>
                <w:rFonts w:ascii="Calibri" w:hAnsi="Calibri" w:cs="Calibri"/>
                <w:sz w:val="18"/>
                <w:szCs w:val="18"/>
                <w:highlight w:val="lightGray"/>
              </w:rPr>
              <w:t xml:space="preserve">H2A </w:t>
            </w:r>
            <w:r w:rsidR="00B4640E" w:rsidRPr="009C49F8">
              <w:rPr>
                <w:rFonts w:ascii="Calibri" w:hAnsi="Calibri" w:cs="Calibri"/>
                <w:sz w:val="18"/>
                <w:szCs w:val="18"/>
                <w:highlight w:val="lightGray"/>
              </w:rPr>
              <w:t xml:space="preserve">Handbook, </w:t>
            </w:r>
            <w:r w:rsidRPr="009C49F8">
              <w:rPr>
                <w:rFonts w:ascii="Calibri" w:hAnsi="Calibri" w:cs="Calibri"/>
                <w:sz w:val="18"/>
                <w:szCs w:val="18"/>
                <w:highlight w:val="lightGray"/>
              </w:rPr>
              <w:t xml:space="preserve">H-2A Job Referral </w:t>
            </w:r>
            <w:r w:rsidR="00B4640E" w:rsidRPr="009C49F8">
              <w:rPr>
                <w:rFonts w:ascii="Calibri" w:hAnsi="Calibri" w:cs="Calibri"/>
                <w:sz w:val="18"/>
                <w:szCs w:val="18"/>
                <w:highlight w:val="lightGray"/>
              </w:rPr>
              <w:t>General Instructions</w:t>
            </w:r>
            <w:r w:rsidRPr="009C49F8">
              <w:rPr>
                <w:rFonts w:ascii="Calibri" w:hAnsi="Calibri" w:cs="Calibri"/>
                <w:sz w:val="18"/>
                <w:szCs w:val="18"/>
                <w:highlight w:val="lightGray"/>
              </w:rPr>
              <w:t>, Hiring Status Final, Additional ESD Information</w:t>
            </w:r>
          </w:p>
          <w:p w14:paraId="3EEF03C7" w14:textId="77777777" w:rsidR="00FF2111" w:rsidRPr="009C49F8" w:rsidRDefault="00FF2111" w:rsidP="00114C48">
            <w:pPr>
              <w:ind w:left="720"/>
              <w:rPr>
                <w:b/>
                <w:bCs/>
                <w:highlight w:val="lightGray"/>
              </w:rPr>
            </w:pPr>
          </w:p>
          <w:p w14:paraId="48DD1DFB" w14:textId="797D6835" w:rsidR="00105FCE" w:rsidRPr="009C49F8" w:rsidRDefault="00FF2111" w:rsidP="00105FCE">
            <w:pPr>
              <w:shd w:val="clear" w:color="auto" w:fill="E7E6E6" w:themeFill="background2"/>
              <w:contextualSpacing/>
              <w:rPr>
                <w:rFonts w:asciiTheme="majorHAnsi" w:hAnsiTheme="majorHAnsi" w:cs="Cambria Math"/>
                <w:b/>
                <w:bCs/>
                <w:sz w:val="32"/>
                <w:szCs w:val="32"/>
                <w:highlight w:val="lightGray"/>
              </w:rPr>
            </w:pPr>
            <w:r w:rsidRPr="009C49F8">
              <w:rPr>
                <w:rFonts w:asciiTheme="majorHAnsi" w:hAnsiTheme="majorHAnsi" w:cs="Cambria Math"/>
                <w:b/>
                <w:bCs/>
                <w:sz w:val="32"/>
                <w:szCs w:val="32"/>
                <w:highlight w:val="lightGray"/>
              </w:rPr>
              <w:t>7</w:t>
            </w:r>
            <w:r w:rsidR="00105FCE" w:rsidRPr="009C49F8">
              <w:rPr>
                <w:rFonts w:asciiTheme="majorHAnsi" w:hAnsiTheme="majorHAnsi" w:cs="Cambria Math"/>
                <w:b/>
                <w:bCs/>
                <w:sz w:val="32"/>
                <w:szCs w:val="32"/>
                <w:highlight w:val="lightGray"/>
              </w:rPr>
              <w:t>. EMPLOYER SERVICES</w:t>
            </w:r>
            <w:r w:rsidR="0025270D" w:rsidRPr="009C49F8">
              <w:rPr>
                <w:rFonts w:asciiTheme="majorHAnsi" w:hAnsiTheme="majorHAnsi" w:cs="Cambria Math"/>
                <w:b/>
                <w:bCs/>
                <w:sz w:val="32"/>
                <w:szCs w:val="32"/>
                <w:highlight w:val="lightGray"/>
              </w:rPr>
              <w:t>-Under Development</w:t>
            </w:r>
          </w:p>
          <w:p w14:paraId="64C1C821" w14:textId="2B3A6CF7" w:rsidR="00367F7F" w:rsidRPr="009C49F8" w:rsidRDefault="00A529DF" w:rsidP="00367F7F">
            <w:pPr>
              <w:ind w:left="720"/>
              <w:rPr>
                <w:rFonts w:cstheme="minorHAnsi"/>
                <w:color w:val="333333"/>
                <w:highlight w:val="lightGray"/>
                <w:shd w:val="clear" w:color="auto" w:fill="FFFFFF"/>
              </w:rPr>
            </w:pPr>
            <w:hyperlink r:id="rId122" w:anchor="p-652.3(b)" w:history="1">
              <w:r w:rsidR="003A76F4" w:rsidRPr="009C49F8">
                <w:rPr>
                  <w:rStyle w:val="Hyperlink"/>
                  <w:rFonts w:cstheme="minorHAnsi"/>
                  <w:b/>
                  <w:bCs/>
                  <w:highlight w:val="lightGray"/>
                  <w:u w:val="single"/>
                  <w:shd w:val="clear" w:color="auto" w:fill="FFFFFF"/>
                </w:rPr>
                <w:t xml:space="preserve">20 CFR 652.3(b), (c) </w:t>
              </w:r>
            </w:hyperlink>
            <w:r w:rsidR="0025270D" w:rsidRPr="009C49F8">
              <w:rPr>
                <w:rFonts w:cstheme="minorHAnsi"/>
                <w:color w:val="333333"/>
                <w:highlight w:val="lightGray"/>
                <w:shd w:val="clear" w:color="auto" w:fill="FFFFFF"/>
              </w:rPr>
              <w:t>Public Labor Exchange Services System Minimum Requirements</w:t>
            </w:r>
          </w:p>
          <w:p w14:paraId="7798FDAC" w14:textId="3A759295" w:rsidR="006A15B1" w:rsidRPr="002171B6" w:rsidRDefault="00A529DF" w:rsidP="00316FF9">
            <w:pPr>
              <w:ind w:left="720"/>
            </w:pPr>
            <w:hyperlink r:id="rId123" w:history="1">
              <w:r w:rsidR="0025270D" w:rsidRPr="009C49F8">
                <w:rPr>
                  <w:rStyle w:val="Hyperlink"/>
                  <w:b/>
                  <w:bCs/>
                  <w:highlight w:val="lightGray"/>
                  <w:u w:val="single"/>
                </w:rPr>
                <w:t>State Workforce Plan 2020-2024</w:t>
              </w:r>
            </w:hyperlink>
            <w:r w:rsidR="0025270D" w:rsidRPr="009C49F8">
              <w:rPr>
                <w:highlight w:val="lightGray"/>
              </w:rPr>
              <w:t xml:space="preserve"> Job Orders, Job Fairs, Hiring Events, Labor market information and other business services.</w:t>
            </w:r>
          </w:p>
        </w:tc>
      </w:tr>
      <w:bookmarkEnd w:id="1"/>
      <w:tr w:rsidR="003B05B1" w:rsidRPr="00867B03" w14:paraId="74828019" w14:textId="77777777" w:rsidTr="001C569C">
        <w:trPr>
          <w:trHeight w:val="474"/>
        </w:trPr>
        <w:tc>
          <w:tcPr>
            <w:tcW w:w="15030" w:type="dxa"/>
            <w:tcBorders>
              <w:top w:val="single" w:sz="12" w:space="0" w:color="auto"/>
              <w:left w:val="single" w:sz="12" w:space="0" w:color="auto"/>
              <w:bottom w:val="single" w:sz="12" w:space="0" w:color="auto"/>
              <w:right w:val="single" w:sz="12" w:space="0" w:color="auto"/>
            </w:tcBorders>
            <w:shd w:val="clear" w:color="auto" w:fill="AEA0CA"/>
          </w:tcPr>
          <w:p w14:paraId="4DA765F9" w14:textId="5CA254B1" w:rsidR="003B05B1" w:rsidRDefault="002171B6" w:rsidP="00F00593">
            <w:pPr>
              <w:jc w:val="center"/>
              <w:rPr>
                <w:rFonts w:asciiTheme="majorHAnsi" w:hAnsiTheme="majorHAnsi" w:cstheme="majorHAnsi"/>
                <w:b/>
                <w:sz w:val="36"/>
                <w:szCs w:val="36"/>
              </w:rPr>
            </w:pPr>
            <w:r w:rsidRPr="00583695">
              <w:rPr>
                <w:rFonts w:asciiTheme="majorHAnsi" w:hAnsiTheme="majorHAnsi" w:cstheme="majorHAnsi"/>
                <w:b/>
                <w:sz w:val="36"/>
                <w:szCs w:val="36"/>
              </w:rPr>
              <w:lastRenderedPageBreak/>
              <w:t>Job Seeker Record Review Checklist</w:t>
            </w:r>
            <w:r w:rsidR="00D52EBC">
              <w:rPr>
                <w:rFonts w:asciiTheme="majorHAnsi" w:hAnsiTheme="majorHAnsi" w:cstheme="majorHAnsi"/>
                <w:b/>
                <w:sz w:val="36"/>
                <w:szCs w:val="36"/>
              </w:rPr>
              <w:t xml:space="preserve"> (JSR)</w:t>
            </w:r>
          </w:p>
          <w:p w14:paraId="1BA7EBE7" w14:textId="7539C65D" w:rsidR="003A29F3" w:rsidRDefault="003A29F3" w:rsidP="00F00593">
            <w:pPr>
              <w:jc w:val="center"/>
              <w:rPr>
                <w:rFonts w:asciiTheme="majorHAnsi" w:hAnsiTheme="majorHAnsi" w:cstheme="majorHAnsi"/>
                <w:b/>
                <w:sz w:val="36"/>
                <w:szCs w:val="36"/>
              </w:rPr>
            </w:pPr>
            <w:r>
              <w:rPr>
                <w:rFonts w:asciiTheme="majorHAnsi" w:hAnsiTheme="majorHAnsi" w:cstheme="majorHAnsi"/>
                <w:b/>
                <w:sz w:val="36"/>
                <w:szCs w:val="36"/>
              </w:rPr>
              <w:t>Complaint Log Checklist (CLC)</w:t>
            </w:r>
            <w:r w:rsidR="00B652DF">
              <w:rPr>
                <w:rFonts w:asciiTheme="majorHAnsi" w:hAnsiTheme="majorHAnsi" w:cstheme="majorHAnsi"/>
                <w:b/>
                <w:sz w:val="36"/>
                <w:szCs w:val="36"/>
              </w:rPr>
              <w:t>-Under Development</w:t>
            </w:r>
          </w:p>
          <w:p w14:paraId="2340D3E1" w14:textId="72A2681E" w:rsidR="00BC100B" w:rsidRDefault="00BC100B" w:rsidP="00F00593">
            <w:pPr>
              <w:jc w:val="center"/>
              <w:rPr>
                <w:rFonts w:asciiTheme="majorHAnsi" w:hAnsiTheme="majorHAnsi" w:cstheme="majorHAnsi"/>
                <w:b/>
                <w:sz w:val="36"/>
                <w:szCs w:val="36"/>
              </w:rPr>
            </w:pPr>
            <w:r>
              <w:rPr>
                <w:rFonts w:asciiTheme="majorHAnsi" w:hAnsiTheme="majorHAnsi" w:cstheme="majorHAnsi"/>
                <w:b/>
                <w:sz w:val="36"/>
                <w:szCs w:val="36"/>
              </w:rPr>
              <w:t>Equity Ratio and Service Level Indicator (ERSLI)</w:t>
            </w:r>
            <w:r w:rsidR="00B652DF">
              <w:rPr>
                <w:rFonts w:asciiTheme="majorHAnsi" w:hAnsiTheme="majorHAnsi" w:cstheme="majorHAnsi"/>
                <w:b/>
                <w:sz w:val="36"/>
                <w:szCs w:val="36"/>
              </w:rPr>
              <w:t>-Under Development</w:t>
            </w:r>
          </w:p>
          <w:p w14:paraId="4B24A03E" w14:textId="646FE395" w:rsidR="008D4A30" w:rsidRDefault="008D4A30" w:rsidP="00F00593">
            <w:pPr>
              <w:jc w:val="center"/>
              <w:rPr>
                <w:rFonts w:asciiTheme="majorHAnsi" w:hAnsiTheme="majorHAnsi" w:cstheme="majorHAnsi"/>
                <w:b/>
                <w:sz w:val="36"/>
                <w:szCs w:val="36"/>
              </w:rPr>
            </w:pPr>
            <w:r>
              <w:rPr>
                <w:rFonts w:asciiTheme="majorHAnsi" w:hAnsiTheme="majorHAnsi" w:cstheme="majorHAnsi"/>
                <w:b/>
                <w:sz w:val="36"/>
                <w:szCs w:val="36"/>
              </w:rPr>
              <w:t>MSFW Outreach (MSFWO)-Under Development</w:t>
            </w:r>
          </w:p>
          <w:p w14:paraId="081A502D" w14:textId="7300EA80" w:rsidR="002171B6" w:rsidRPr="00ED505B" w:rsidRDefault="003A29F3" w:rsidP="00D8164E">
            <w:pPr>
              <w:jc w:val="center"/>
              <w:rPr>
                <w:rFonts w:asciiTheme="majorHAnsi" w:hAnsiTheme="majorHAnsi" w:cstheme="majorHAnsi"/>
                <w:b/>
                <w:sz w:val="24"/>
                <w:szCs w:val="24"/>
              </w:rPr>
            </w:pPr>
            <w:r>
              <w:rPr>
                <w:rFonts w:asciiTheme="majorHAnsi" w:hAnsiTheme="majorHAnsi" w:cstheme="majorHAnsi"/>
                <w:b/>
                <w:sz w:val="36"/>
                <w:szCs w:val="36"/>
              </w:rPr>
              <w:t xml:space="preserve">ARS </w:t>
            </w:r>
            <w:r w:rsidR="00C678ED">
              <w:rPr>
                <w:rFonts w:asciiTheme="majorHAnsi" w:hAnsiTheme="majorHAnsi" w:cstheme="majorHAnsi"/>
                <w:b/>
                <w:sz w:val="36"/>
                <w:szCs w:val="36"/>
              </w:rPr>
              <w:t>Clearance</w:t>
            </w:r>
            <w:r>
              <w:rPr>
                <w:rFonts w:asciiTheme="majorHAnsi" w:hAnsiTheme="majorHAnsi" w:cstheme="majorHAnsi"/>
                <w:b/>
                <w:sz w:val="36"/>
                <w:szCs w:val="36"/>
              </w:rPr>
              <w:t xml:space="preserve"> Order Checklist (ARSC)</w:t>
            </w:r>
            <w:r w:rsidR="00B652DF">
              <w:rPr>
                <w:rFonts w:asciiTheme="majorHAnsi" w:hAnsiTheme="majorHAnsi" w:cstheme="majorHAnsi"/>
                <w:b/>
                <w:sz w:val="36"/>
                <w:szCs w:val="36"/>
              </w:rPr>
              <w:t>-Under Development</w:t>
            </w:r>
          </w:p>
        </w:tc>
      </w:tr>
      <w:tr w:rsidR="00BD2C55" w:rsidRPr="00213D49" w14:paraId="7565AF9B" w14:textId="77777777" w:rsidTr="001C569C">
        <w:trPr>
          <w:trHeight w:val="2031"/>
        </w:trPr>
        <w:tc>
          <w:tcPr>
            <w:tcW w:w="15030" w:type="dxa"/>
            <w:tcBorders>
              <w:top w:val="single" w:sz="12" w:space="0" w:color="auto"/>
              <w:left w:val="single" w:sz="12" w:space="0" w:color="auto"/>
              <w:bottom w:val="single" w:sz="12" w:space="0" w:color="auto"/>
              <w:right w:val="single" w:sz="12" w:space="0" w:color="auto"/>
            </w:tcBorders>
            <w:shd w:val="clear" w:color="auto" w:fill="auto"/>
          </w:tcPr>
          <w:tbl>
            <w:tblPr>
              <w:tblW w:w="14605" w:type="dxa"/>
              <w:tblLayout w:type="fixed"/>
              <w:tblLook w:val="04A0" w:firstRow="1" w:lastRow="0" w:firstColumn="1" w:lastColumn="0" w:noHBand="0" w:noVBand="1"/>
            </w:tblPr>
            <w:tblGrid>
              <w:gridCol w:w="3508"/>
              <w:gridCol w:w="11097"/>
            </w:tblGrid>
            <w:tr w:rsidR="003A29F3" w:rsidRPr="00D3141D" w14:paraId="308C8FF2" w14:textId="77777777" w:rsidTr="00724D11">
              <w:trPr>
                <w:trHeight w:val="414"/>
              </w:trPr>
              <w:tc>
                <w:tcPr>
                  <w:tcW w:w="14605" w:type="dxa"/>
                  <w:gridSpan w:val="2"/>
                  <w:tcBorders>
                    <w:top w:val="single" w:sz="8" w:space="0" w:color="auto"/>
                    <w:left w:val="single" w:sz="8" w:space="0" w:color="auto"/>
                    <w:bottom w:val="single" w:sz="8" w:space="0" w:color="auto"/>
                    <w:right w:val="single" w:sz="4" w:space="0" w:color="auto"/>
                  </w:tcBorders>
                  <w:shd w:val="clear" w:color="auto" w:fill="E7E6E6" w:themeFill="background2"/>
                  <w:noWrap/>
                  <w:vAlign w:val="bottom"/>
                </w:tcPr>
                <w:p w14:paraId="7B060220" w14:textId="002CF67B" w:rsidR="003A29F3" w:rsidRPr="00D3141D" w:rsidRDefault="003A29F3" w:rsidP="003A29F3">
                  <w:pPr>
                    <w:spacing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Job Seeker Record Checklist</w:t>
                  </w:r>
                </w:p>
              </w:tc>
            </w:tr>
            <w:tr w:rsidR="00D52EBC" w:rsidRPr="00D3141D" w14:paraId="2B02BAE7" w14:textId="77777777" w:rsidTr="008C30C6">
              <w:trPr>
                <w:trHeight w:val="414"/>
              </w:trPr>
              <w:tc>
                <w:tcPr>
                  <w:tcW w:w="3508"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432D177C" w14:textId="77777777" w:rsidR="00D52EBC" w:rsidRPr="00D3141D" w:rsidRDefault="00D52EBC" w:rsidP="008C30C6">
                  <w:pPr>
                    <w:spacing w:after="0" w:line="240" w:lineRule="auto"/>
                    <w:jc w:val="center"/>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ELEMENT</w:t>
                  </w:r>
                </w:p>
              </w:tc>
              <w:tc>
                <w:tcPr>
                  <w:tcW w:w="11097" w:type="dxa"/>
                  <w:tcBorders>
                    <w:top w:val="single" w:sz="8" w:space="0" w:color="auto"/>
                    <w:left w:val="nil"/>
                    <w:bottom w:val="single" w:sz="8" w:space="0" w:color="auto"/>
                    <w:right w:val="single" w:sz="4" w:space="0" w:color="auto"/>
                  </w:tcBorders>
                  <w:shd w:val="clear" w:color="auto" w:fill="E7E6E6" w:themeFill="background2"/>
                  <w:noWrap/>
                  <w:vAlign w:val="bottom"/>
                  <w:hideMark/>
                </w:tcPr>
                <w:p w14:paraId="33EAC5EA" w14:textId="77777777" w:rsidR="00D52EBC" w:rsidRPr="00D3141D" w:rsidRDefault="00D52EBC"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ELIGIBILITY AND REGISTRATION</w:t>
                  </w:r>
                </w:p>
              </w:tc>
            </w:tr>
            <w:tr w:rsidR="00D52EBC" w:rsidRPr="00D3141D" w14:paraId="58BE9458" w14:textId="77777777" w:rsidTr="003A29F3">
              <w:trPr>
                <w:trHeight w:val="60"/>
              </w:trPr>
              <w:tc>
                <w:tcPr>
                  <w:tcW w:w="3508" w:type="dxa"/>
                  <w:tcBorders>
                    <w:top w:val="nil"/>
                    <w:left w:val="single" w:sz="8" w:space="0" w:color="auto"/>
                    <w:bottom w:val="single" w:sz="4" w:space="0" w:color="auto"/>
                    <w:right w:val="single" w:sz="8" w:space="0" w:color="auto"/>
                  </w:tcBorders>
                  <w:shd w:val="clear" w:color="auto" w:fill="auto"/>
                  <w:noWrap/>
                  <w:vAlign w:val="bottom"/>
                  <w:hideMark/>
                </w:tcPr>
                <w:p w14:paraId="3819B61E" w14:textId="5F88CEB7" w:rsidR="00D52EBC" w:rsidRPr="00182026" w:rsidRDefault="00D52EBC" w:rsidP="00994188">
                  <w:pPr>
                    <w:spacing w:after="0" w:line="240" w:lineRule="auto"/>
                    <w:jc w:val="center"/>
                    <w:rPr>
                      <w:rFonts w:eastAsia="Times New Roman" w:cstheme="minorHAnsi"/>
                      <w:color w:val="000000"/>
                    </w:rPr>
                  </w:pPr>
                  <w:r w:rsidRPr="00D3141D">
                    <w:rPr>
                      <w:rFonts w:eastAsia="Times New Roman" w:cstheme="minorHAnsi"/>
                      <w:color w:val="000000"/>
                    </w:rPr>
                    <w:t>1H</w:t>
                  </w:r>
                </w:p>
                <w:p w14:paraId="4D6C673A" w14:textId="77777777" w:rsidR="00D52EBC" w:rsidRPr="00D3141D" w:rsidRDefault="00D52EBC" w:rsidP="00994188">
                  <w:pPr>
                    <w:spacing w:after="0" w:line="240" w:lineRule="auto"/>
                    <w:jc w:val="center"/>
                    <w:rPr>
                      <w:rFonts w:eastAsia="Times New Roman" w:cstheme="minorHAnsi"/>
                      <w:color w:val="000000"/>
                    </w:rPr>
                  </w:pPr>
                </w:p>
              </w:tc>
              <w:tc>
                <w:tcPr>
                  <w:tcW w:w="11097" w:type="dxa"/>
                  <w:tcBorders>
                    <w:top w:val="nil"/>
                    <w:left w:val="single" w:sz="8" w:space="0" w:color="auto"/>
                    <w:bottom w:val="single" w:sz="4" w:space="0" w:color="auto"/>
                    <w:right w:val="single" w:sz="4" w:space="0" w:color="auto"/>
                  </w:tcBorders>
                  <w:shd w:val="clear" w:color="auto" w:fill="auto"/>
                  <w:vAlign w:val="bottom"/>
                  <w:hideMark/>
                </w:tcPr>
                <w:p w14:paraId="50BAB0E7" w14:textId="5366B567" w:rsidR="00D52EBC" w:rsidRPr="00182026" w:rsidRDefault="00D52EBC" w:rsidP="00837189">
                  <w:pPr>
                    <w:spacing w:after="0" w:line="240" w:lineRule="auto"/>
                    <w:rPr>
                      <w:rFonts w:eastAsia="Times New Roman" w:cstheme="minorHAnsi"/>
                      <w:color w:val="000000"/>
                    </w:rPr>
                  </w:pPr>
                  <w:r w:rsidRPr="00D3141D">
                    <w:rPr>
                      <w:rFonts w:eastAsia="Times New Roman" w:cstheme="minorHAnsi"/>
                      <w:color w:val="000000"/>
                    </w:rPr>
                    <w:t xml:space="preserve">Applicant is </w:t>
                  </w:r>
                  <w:r>
                    <w:rPr>
                      <w:rFonts w:eastAsia="Times New Roman" w:cstheme="minorHAnsi"/>
                      <w:color w:val="000000"/>
                    </w:rPr>
                    <w:t xml:space="preserve">accurately identified as a Migrant and Seasonal Farm Worker </w:t>
                  </w:r>
                  <w:r w:rsidRPr="00D3141D">
                    <w:rPr>
                      <w:rFonts w:eastAsia="Times New Roman" w:cstheme="minorHAnsi"/>
                      <w:color w:val="000000"/>
                    </w:rPr>
                    <w:t>at the time of staff-assisted service?</w:t>
                  </w:r>
                </w:p>
                <w:p w14:paraId="25215B52" w14:textId="77777777" w:rsidR="00D52EBC" w:rsidRPr="00D3141D" w:rsidRDefault="00D52EBC" w:rsidP="00837189">
                  <w:pPr>
                    <w:spacing w:after="0" w:line="240" w:lineRule="auto"/>
                    <w:rPr>
                      <w:rFonts w:eastAsia="Times New Roman" w:cstheme="minorHAnsi"/>
                      <w:color w:val="000000"/>
                    </w:rPr>
                  </w:pPr>
                </w:p>
              </w:tc>
            </w:tr>
            <w:tr w:rsidR="00D52EBC" w:rsidRPr="00D3141D" w14:paraId="20B9308E" w14:textId="77777777" w:rsidTr="003A29F3">
              <w:trPr>
                <w:trHeight w:val="414"/>
              </w:trPr>
              <w:tc>
                <w:tcPr>
                  <w:tcW w:w="3508" w:type="dxa"/>
                  <w:tcBorders>
                    <w:top w:val="single" w:sz="8" w:space="0" w:color="auto"/>
                    <w:left w:val="single" w:sz="8" w:space="0" w:color="auto"/>
                    <w:bottom w:val="nil"/>
                    <w:right w:val="single" w:sz="4" w:space="0" w:color="auto"/>
                  </w:tcBorders>
                  <w:shd w:val="clear" w:color="auto" w:fill="E7E6E6" w:themeFill="background2"/>
                  <w:noWrap/>
                  <w:vAlign w:val="bottom"/>
                  <w:hideMark/>
                </w:tcPr>
                <w:p w14:paraId="224DD0BB" w14:textId="4F57D1C3" w:rsidR="00D52EBC" w:rsidRPr="00D3141D" w:rsidRDefault="00D52EBC" w:rsidP="00994188">
                  <w:pPr>
                    <w:spacing w:after="0" w:line="240" w:lineRule="auto"/>
                    <w:jc w:val="center"/>
                    <w:rPr>
                      <w:rFonts w:asciiTheme="majorHAnsi" w:eastAsia="Times New Roman" w:hAnsiTheme="majorHAnsi" w:cstheme="majorHAnsi"/>
                      <w:b/>
                      <w:bCs/>
                      <w:color w:val="000000"/>
                      <w:sz w:val="24"/>
                      <w:szCs w:val="24"/>
                    </w:rPr>
                  </w:pPr>
                  <w:r w:rsidRPr="00C70840">
                    <w:rPr>
                      <w:rFonts w:asciiTheme="majorHAnsi" w:eastAsia="Times New Roman" w:hAnsiTheme="majorHAnsi" w:cstheme="majorHAnsi"/>
                      <w:b/>
                      <w:bCs/>
                      <w:color w:val="000000"/>
                      <w:sz w:val="24"/>
                      <w:szCs w:val="24"/>
                    </w:rPr>
                    <w:t>ELEMENT</w:t>
                  </w:r>
                </w:p>
              </w:tc>
              <w:tc>
                <w:tcPr>
                  <w:tcW w:w="11097" w:type="dxa"/>
                  <w:tcBorders>
                    <w:top w:val="single" w:sz="4" w:space="0" w:color="auto"/>
                    <w:left w:val="single" w:sz="4" w:space="0" w:color="auto"/>
                    <w:bottom w:val="single" w:sz="4" w:space="0" w:color="auto"/>
                    <w:right w:val="single" w:sz="8" w:space="0" w:color="auto"/>
                  </w:tcBorders>
                  <w:shd w:val="clear" w:color="auto" w:fill="E7E6E6" w:themeFill="background2"/>
                  <w:noWrap/>
                  <w:vAlign w:val="bottom"/>
                  <w:hideMark/>
                </w:tcPr>
                <w:p w14:paraId="1E4D6AD4" w14:textId="77777777" w:rsidR="00D52EBC" w:rsidRPr="00D3141D" w:rsidRDefault="00D52EBC" w:rsidP="00837189">
                  <w:pPr>
                    <w:spacing w:after="0" w:line="240" w:lineRule="auto"/>
                    <w:rPr>
                      <w:rFonts w:asciiTheme="majorHAnsi" w:eastAsia="Times New Roman" w:hAnsiTheme="majorHAnsi" w:cstheme="majorHAnsi"/>
                      <w:b/>
                      <w:bCs/>
                      <w:color w:val="000000"/>
                      <w:sz w:val="24"/>
                      <w:szCs w:val="24"/>
                    </w:rPr>
                  </w:pPr>
                  <w:r w:rsidRPr="00C70840">
                    <w:rPr>
                      <w:rFonts w:asciiTheme="majorHAnsi" w:eastAsia="Times New Roman" w:hAnsiTheme="majorHAnsi" w:cstheme="majorHAnsi"/>
                      <w:b/>
                      <w:bCs/>
                      <w:color w:val="000000"/>
                      <w:sz w:val="24"/>
                      <w:szCs w:val="24"/>
                    </w:rPr>
                    <w:t xml:space="preserve">ELIGIBILITY AND REGISTRATION-JOB SEEKER </w:t>
                  </w:r>
                </w:p>
              </w:tc>
            </w:tr>
            <w:tr w:rsidR="00D52EBC" w:rsidRPr="00D3141D" w14:paraId="1D83DDD5" w14:textId="77777777" w:rsidTr="003A29F3">
              <w:trPr>
                <w:trHeight w:val="452"/>
              </w:trPr>
              <w:tc>
                <w:tcPr>
                  <w:tcW w:w="350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904479D" w14:textId="1495D706" w:rsidR="00D52EBC" w:rsidRPr="00182026" w:rsidRDefault="00D52EBC" w:rsidP="00994188">
                  <w:pPr>
                    <w:spacing w:after="0" w:line="240" w:lineRule="auto"/>
                    <w:jc w:val="center"/>
                    <w:rPr>
                      <w:rFonts w:eastAsia="Times New Roman" w:cstheme="minorHAnsi"/>
                      <w:color w:val="000000"/>
                    </w:rPr>
                  </w:pPr>
                  <w:r w:rsidRPr="00D3141D">
                    <w:rPr>
                      <w:rFonts w:eastAsia="Times New Roman" w:cstheme="minorHAnsi"/>
                      <w:color w:val="000000"/>
                    </w:rPr>
                    <w:t>2D</w:t>
                  </w:r>
                </w:p>
                <w:p w14:paraId="643C317E" w14:textId="77777777" w:rsidR="00D52EBC" w:rsidRPr="00D3141D" w:rsidRDefault="00D52EBC" w:rsidP="00994188">
                  <w:pPr>
                    <w:spacing w:after="0" w:line="240" w:lineRule="auto"/>
                    <w:jc w:val="center"/>
                    <w:rPr>
                      <w:rFonts w:eastAsia="Times New Roman" w:cstheme="minorHAnsi"/>
                      <w:color w:val="000000"/>
                    </w:rPr>
                  </w:pPr>
                </w:p>
              </w:tc>
              <w:tc>
                <w:tcPr>
                  <w:tcW w:w="11097" w:type="dxa"/>
                  <w:tcBorders>
                    <w:top w:val="single" w:sz="4" w:space="0" w:color="auto"/>
                    <w:left w:val="nil"/>
                    <w:bottom w:val="single" w:sz="4" w:space="0" w:color="auto"/>
                    <w:right w:val="single" w:sz="8" w:space="0" w:color="auto"/>
                  </w:tcBorders>
                  <w:shd w:val="clear" w:color="auto" w:fill="auto"/>
                  <w:noWrap/>
                  <w:vAlign w:val="bottom"/>
                  <w:hideMark/>
                </w:tcPr>
                <w:p w14:paraId="33D35C72" w14:textId="61784F58" w:rsidR="00D52EBC" w:rsidRPr="00D3141D" w:rsidRDefault="00D52EBC" w:rsidP="00837189">
                  <w:pPr>
                    <w:spacing w:after="0" w:line="240" w:lineRule="auto"/>
                    <w:jc w:val="both"/>
                    <w:rPr>
                      <w:rFonts w:eastAsia="Times New Roman" w:cstheme="minorHAnsi"/>
                      <w:color w:val="000000"/>
                    </w:rPr>
                  </w:pPr>
                  <w:r w:rsidRPr="00D3141D">
                    <w:rPr>
                      <w:rFonts w:eastAsia="Times New Roman" w:cstheme="minorHAnsi"/>
                      <w:color w:val="000000"/>
                    </w:rPr>
                    <w:t>Record contains evidence of Right to Work?</w:t>
                  </w:r>
                </w:p>
              </w:tc>
            </w:tr>
            <w:tr w:rsidR="00D52EBC" w:rsidRPr="00D3141D" w14:paraId="3DA48325" w14:textId="77777777" w:rsidTr="003A29F3">
              <w:trPr>
                <w:trHeight w:val="671"/>
              </w:trPr>
              <w:tc>
                <w:tcPr>
                  <w:tcW w:w="3508" w:type="dxa"/>
                  <w:tcBorders>
                    <w:top w:val="nil"/>
                    <w:left w:val="single" w:sz="8" w:space="0" w:color="auto"/>
                    <w:bottom w:val="single" w:sz="4" w:space="0" w:color="auto"/>
                    <w:right w:val="single" w:sz="8" w:space="0" w:color="auto"/>
                  </w:tcBorders>
                  <w:shd w:val="clear" w:color="auto" w:fill="auto"/>
                  <w:noWrap/>
                  <w:vAlign w:val="bottom"/>
                  <w:hideMark/>
                </w:tcPr>
                <w:p w14:paraId="501B0E32" w14:textId="5A98021C" w:rsidR="00D52EBC" w:rsidRPr="00182026" w:rsidRDefault="00D52EBC" w:rsidP="00994188">
                  <w:pPr>
                    <w:spacing w:after="0" w:line="240" w:lineRule="auto"/>
                    <w:jc w:val="center"/>
                    <w:rPr>
                      <w:rFonts w:eastAsia="Times New Roman" w:cstheme="minorHAnsi"/>
                      <w:color w:val="000000"/>
                    </w:rPr>
                  </w:pPr>
                  <w:r w:rsidRPr="00D3141D">
                    <w:rPr>
                      <w:rFonts w:eastAsia="Times New Roman" w:cstheme="minorHAnsi"/>
                      <w:color w:val="000000"/>
                    </w:rPr>
                    <w:t>2E</w:t>
                  </w:r>
                </w:p>
                <w:p w14:paraId="38FC7CEA" w14:textId="77777777" w:rsidR="00D52EBC" w:rsidRPr="00D3141D" w:rsidRDefault="00D52EBC" w:rsidP="00994188">
                  <w:pPr>
                    <w:spacing w:after="0" w:line="240" w:lineRule="auto"/>
                    <w:jc w:val="center"/>
                    <w:rPr>
                      <w:rFonts w:eastAsia="Times New Roman" w:cstheme="minorHAnsi"/>
                      <w:color w:val="000000"/>
                    </w:rPr>
                  </w:pPr>
                </w:p>
              </w:tc>
              <w:tc>
                <w:tcPr>
                  <w:tcW w:w="11097" w:type="dxa"/>
                  <w:tcBorders>
                    <w:top w:val="single" w:sz="8" w:space="0" w:color="auto"/>
                    <w:left w:val="nil"/>
                    <w:bottom w:val="single" w:sz="4" w:space="0" w:color="auto"/>
                    <w:right w:val="single" w:sz="8" w:space="0" w:color="auto"/>
                  </w:tcBorders>
                  <w:shd w:val="clear" w:color="auto" w:fill="auto"/>
                  <w:vAlign w:val="center"/>
                  <w:hideMark/>
                </w:tcPr>
                <w:p w14:paraId="4950F44D" w14:textId="5D5A8CD1" w:rsidR="00D52EBC" w:rsidRDefault="00D52EBC" w:rsidP="00837189">
                  <w:pPr>
                    <w:spacing w:after="0" w:line="240" w:lineRule="auto"/>
                    <w:rPr>
                      <w:rFonts w:eastAsia="Times New Roman" w:cstheme="minorHAnsi"/>
                      <w:color w:val="000000"/>
                    </w:rPr>
                  </w:pPr>
                  <w:r w:rsidRPr="00D3141D">
                    <w:rPr>
                      <w:rFonts w:eastAsia="Times New Roman" w:cstheme="minorHAnsi"/>
                      <w:color w:val="000000"/>
                    </w:rPr>
                    <w:t>Demographics were completed</w:t>
                  </w:r>
                  <w:r>
                    <w:rPr>
                      <w:rFonts w:eastAsia="Times New Roman" w:cstheme="minorHAnsi"/>
                      <w:color w:val="000000"/>
                    </w:rPr>
                    <w:t>/updated</w:t>
                  </w:r>
                  <w:r w:rsidRPr="00D3141D">
                    <w:rPr>
                      <w:rFonts w:eastAsia="Times New Roman" w:cstheme="minorHAnsi"/>
                      <w:color w:val="000000"/>
                    </w:rPr>
                    <w:t xml:space="preserve"> during the customer</w:t>
                  </w:r>
                  <w:r w:rsidR="003A29F3">
                    <w:rPr>
                      <w:rFonts w:eastAsia="Times New Roman" w:cstheme="minorHAnsi"/>
                      <w:color w:val="000000"/>
                    </w:rPr>
                    <w:t>’</w:t>
                  </w:r>
                  <w:r w:rsidRPr="00D3141D">
                    <w:rPr>
                      <w:rFonts w:eastAsia="Times New Roman" w:cstheme="minorHAnsi"/>
                      <w:color w:val="000000"/>
                    </w:rPr>
                    <w:t>s initial assessment</w:t>
                  </w:r>
                  <w:r>
                    <w:rPr>
                      <w:rFonts w:eastAsia="Times New Roman" w:cstheme="minorHAnsi"/>
                      <w:color w:val="000000"/>
                    </w:rPr>
                    <w:t>/point of staff-assisted service</w:t>
                  </w:r>
                  <w:r w:rsidRPr="00D3141D">
                    <w:rPr>
                      <w:rFonts w:eastAsia="Times New Roman" w:cstheme="minorHAnsi"/>
                      <w:color w:val="000000"/>
                    </w:rPr>
                    <w:t>?</w:t>
                  </w:r>
                </w:p>
                <w:p w14:paraId="7586B4D2" w14:textId="77777777" w:rsidR="00D52EBC" w:rsidRPr="00D3141D" w:rsidRDefault="00D52EBC" w:rsidP="00837189">
                  <w:pPr>
                    <w:spacing w:after="0" w:line="240" w:lineRule="auto"/>
                    <w:rPr>
                      <w:rFonts w:eastAsia="Times New Roman" w:cstheme="minorHAnsi"/>
                      <w:color w:val="000000"/>
                    </w:rPr>
                  </w:pPr>
                </w:p>
              </w:tc>
            </w:tr>
            <w:tr w:rsidR="00D52EBC" w:rsidRPr="00D3141D" w14:paraId="64BAA828" w14:textId="77777777" w:rsidTr="003A29F3">
              <w:trPr>
                <w:trHeight w:val="414"/>
              </w:trPr>
              <w:tc>
                <w:tcPr>
                  <w:tcW w:w="3508"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6B47F024" w14:textId="77777777" w:rsidR="00D52EBC" w:rsidRPr="00D3141D" w:rsidRDefault="00D52EBC" w:rsidP="00994188">
                  <w:pPr>
                    <w:spacing w:after="0" w:line="240" w:lineRule="auto"/>
                    <w:jc w:val="center"/>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ELEMENT</w:t>
                  </w:r>
                </w:p>
              </w:tc>
              <w:tc>
                <w:tcPr>
                  <w:tcW w:w="11097" w:type="dxa"/>
                  <w:tcBorders>
                    <w:top w:val="single" w:sz="4" w:space="0" w:color="auto"/>
                    <w:left w:val="single" w:sz="8" w:space="0" w:color="auto"/>
                    <w:bottom w:val="single" w:sz="4" w:space="0" w:color="auto"/>
                    <w:right w:val="single" w:sz="8" w:space="0" w:color="auto"/>
                  </w:tcBorders>
                  <w:shd w:val="clear" w:color="auto" w:fill="E7E6E6" w:themeFill="background2"/>
                  <w:noWrap/>
                  <w:vAlign w:val="bottom"/>
                  <w:hideMark/>
                </w:tcPr>
                <w:p w14:paraId="41D47CC7" w14:textId="77777777" w:rsidR="00D52EBC" w:rsidRPr="00D3141D" w:rsidRDefault="00D52EBC"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PRIORITY OF SERVICE</w:t>
                  </w:r>
                </w:p>
              </w:tc>
            </w:tr>
            <w:tr w:rsidR="00D52EBC" w:rsidRPr="00D3141D" w14:paraId="2DBF1DE0" w14:textId="77777777" w:rsidTr="003A29F3">
              <w:trPr>
                <w:trHeight w:val="406"/>
              </w:trPr>
              <w:tc>
                <w:tcPr>
                  <w:tcW w:w="35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9C6A9D9" w14:textId="264A2169" w:rsidR="00D52EBC" w:rsidRPr="002E482D" w:rsidRDefault="00D52EBC" w:rsidP="00994188">
                  <w:pPr>
                    <w:spacing w:after="0" w:line="240" w:lineRule="auto"/>
                    <w:jc w:val="center"/>
                    <w:rPr>
                      <w:rFonts w:eastAsia="Times New Roman" w:cstheme="minorHAnsi"/>
                      <w:color w:val="000000"/>
                    </w:rPr>
                  </w:pPr>
                  <w:r w:rsidRPr="00D3141D">
                    <w:rPr>
                      <w:rFonts w:eastAsia="Times New Roman" w:cstheme="minorHAnsi"/>
                      <w:color w:val="000000"/>
                    </w:rPr>
                    <w:t>3A</w:t>
                  </w:r>
                </w:p>
                <w:p w14:paraId="256EA254" w14:textId="77777777" w:rsidR="00D52EBC" w:rsidRPr="00D3141D" w:rsidRDefault="00D52EBC" w:rsidP="00994188">
                  <w:pPr>
                    <w:spacing w:after="0" w:line="240" w:lineRule="auto"/>
                    <w:jc w:val="center"/>
                    <w:rPr>
                      <w:rFonts w:eastAsia="Times New Roman" w:cstheme="minorHAnsi"/>
                      <w:color w:val="000000"/>
                    </w:rPr>
                  </w:pPr>
                </w:p>
              </w:tc>
              <w:tc>
                <w:tcPr>
                  <w:tcW w:w="11097" w:type="dxa"/>
                  <w:tcBorders>
                    <w:top w:val="nil"/>
                    <w:left w:val="nil"/>
                    <w:bottom w:val="single" w:sz="4" w:space="0" w:color="auto"/>
                    <w:right w:val="single" w:sz="8" w:space="0" w:color="auto"/>
                  </w:tcBorders>
                  <w:shd w:val="clear" w:color="auto" w:fill="auto"/>
                  <w:vAlign w:val="center"/>
                  <w:hideMark/>
                </w:tcPr>
                <w:p w14:paraId="355203BB" w14:textId="269507A1" w:rsidR="00D52EBC" w:rsidRPr="00D3141D" w:rsidRDefault="00D52EBC" w:rsidP="00837189">
                  <w:pPr>
                    <w:spacing w:after="0" w:line="240" w:lineRule="auto"/>
                    <w:rPr>
                      <w:rFonts w:eastAsia="Times New Roman" w:cstheme="minorHAnsi"/>
                      <w:color w:val="000000"/>
                    </w:rPr>
                  </w:pPr>
                  <w:r w:rsidRPr="00D3141D">
                    <w:rPr>
                      <w:rFonts w:eastAsia="Times New Roman" w:cstheme="minorHAnsi"/>
                      <w:color w:val="000000"/>
                    </w:rPr>
                    <w:t>Does the record contain evidence of Veteran</w:t>
                  </w:r>
                  <w:r w:rsidR="003A29F3">
                    <w:rPr>
                      <w:rFonts w:eastAsia="Times New Roman" w:cstheme="minorHAnsi"/>
                      <w:color w:val="000000"/>
                    </w:rPr>
                    <w:t>’</w:t>
                  </w:r>
                  <w:r w:rsidRPr="00D3141D">
                    <w:rPr>
                      <w:rFonts w:eastAsia="Times New Roman" w:cstheme="minorHAnsi"/>
                      <w:color w:val="000000"/>
                    </w:rPr>
                    <w:t xml:space="preserve">s status?  </w:t>
                  </w:r>
                </w:p>
              </w:tc>
            </w:tr>
            <w:tr w:rsidR="00D52EBC" w:rsidRPr="00D3141D" w14:paraId="59B3901B" w14:textId="77777777" w:rsidTr="003A29F3">
              <w:trPr>
                <w:trHeight w:val="125"/>
              </w:trPr>
              <w:tc>
                <w:tcPr>
                  <w:tcW w:w="3508"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17E9DF50" w14:textId="77777777" w:rsidR="00D52EBC" w:rsidRPr="00D3141D" w:rsidRDefault="00D52EBC" w:rsidP="00994188">
                  <w:pPr>
                    <w:spacing w:after="0" w:line="240" w:lineRule="auto"/>
                    <w:jc w:val="center"/>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ELEMENT</w:t>
                  </w:r>
                </w:p>
              </w:tc>
              <w:tc>
                <w:tcPr>
                  <w:tcW w:w="11097" w:type="dxa"/>
                  <w:tcBorders>
                    <w:top w:val="nil"/>
                    <w:left w:val="single" w:sz="8" w:space="0" w:color="auto"/>
                    <w:bottom w:val="single" w:sz="4" w:space="0" w:color="auto"/>
                    <w:right w:val="single" w:sz="8" w:space="0" w:color="auto"/>
                  </w:tcBorders>
                  <w:shd w:val="clear" w:color="auto" w:fill="E7E6E6" w:themeFill="background2"/>
                  <w:vAlign w:val="center"/>
                  <w:hideMark/>
                </w:tcPr>
                <w:p w14:paraId="0228B7BD" w14:textId="77777777" w:rsidR="00D52EBC" w:rsidRPr="00D3141D" w:rsidRDefault="00D52EBC"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LABOR EXCHANGE SERVICES</w:t>
                  </w:r>
                </w:p>
              </w:tc>
            </w:tr>
            <w:tr w:rsidR="00D52EBC" w:rsidRPr="00D3141D" w14:paraId="060130B4" w14:textId="77777777" w:rsidTr="003A29F3">
              <w:trPr>
                <w:trHeight w:val="579"/>
              </w:trPr>
              <w:tc>
                <w:tcPr>
                  <w:tcW w:w="35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77F22F4" w14:textId="7A9E1217" w:rsidR="00D52EBC" w:rsidRPr="002E482D" w:rsidRDefault="00D52EBC" w:rsidP="00994188">
                  <w:pPr>
                    <w:spacing w:after="0" w:line="240" w:lineRule="auto"/>
                    <w:jc w:val="center"/>
                    <w:rPr>
                      <w:rFonts w:eastAsia="Times New Roman" w:cstheme="minorHAnsi"/>
                      <w:color w:val="000000"/>
                    </w:rPr>
                  </w:pPr>
                  <w:r w:rsidRPr="00D3141D">
                    <w:rPr>
                      <w:rFonts w:eastAsia="Times New Roman" w:cstheme="minorHAnsi"/>
                      <w:color w:val="000000"/>
                    </w:rPr>
                    <w:t>4A</w:t>
                  </w:r>
                </w:p>
                <w:p w14:paraId="136CE7A0" w14:textId="77777777" w:rsidR="00D52EBC" w:rsidRPr="002E482D" w:rsidRDefault="00D52EBC" w:rsidP="00994188">
                  <w:pPr>
                    <w:spacing w:after="0" w:line="240" w:lineRule="auto"/>
                    <w:jc w:val="center"/>
                    <w:rPr>
                      <w:rFonts w:eastAsia="Times New Roman" w:cstheme="minorHAnsi"/>
                      <w:color w:val="000000"/>
                    </w:rPr>
                  </w:pPr>
                </w:p>
                <w:p w14:paraId="53FE97B3" w14:textId="77777777" w:rsidR="00D52EBC" w:rsidRPr="00D3141D" w:rsidRDefault="00D52EBC" w:rsidP="00994188">
                  <w:pPr>
                    <w:spacing w:after="0" w:line="240" w:lineRule="auto"/>
                    <w:jc w:val="center"/>
                    <w:rPr>
                      <w:rFonts w:eastAsia="Times New Roman" w:cstheme="minorHAnsi"/>
                      <w:color w:val="000000"/>
                    </w:rPr>
                  </w:pPr>
                </w:p>
              </w:tc>
              <w:tc>
                <w:tcPr>
                  <w:tcW w:w="11097" w:type="dxa"/>
                  <w:tcBorders>
                    <w:top w:val="nil"/>
                    <w:left w:val="nil"/>
                    <w:bottom w:val="single" w:sz="4" w:space="0" w:color="auto"/>
                    <w:right w:val="single" w:sz="8" w:space="0" w:color="auto"/>
                  </w:tcBorders>
                  <w:shd w:val="clear" w:color="auto" w:fill="auto"/>
                  <w:vAlign w:val="center"/>
                  <w:hideMark/>
                </w:tcPr>
                <w:p w14:paraId="70FD1919" w14:textId="1D28F943" w:rsidR="00D52EBC" w:rsidRPr="002E482D" w:rsidRDefault="00D52EBC" w:rsidP="00837189">
                  <w:pPr>
                    <w:spacing w:after="0" w:line="240" w:lineRule="auto"/>
                    <w:rPr>
                      <w:rFonts w:eastAsia="Times New Roman" w:cstheme="minorHAnsi"/>
                      <w:color w:val="000000"/>
                    </w:rPr>
                  </w:pPr>
                  <w:r w:rsidRPr="00D3141D">
                    <w:rPr>
                      <w:rFonts w:eastAsia="Times New Roman" w:cstheme="minorHAnsi"/>
                      <w:color w:val="000000"/>
                    </w:rPr>
                    <w:t>Record contains evidence (desk side) Basic Career Services were provided</w:t>
                  </w:r>
                  <w:r>
                    <w:rPr>
                      <w:rFonts w:eastAsia="Times New Roman" w:cstheme="minorHAnsi"/>
                      <w:color w:val="000000"/>
                    </w:rPr>
                    <w:t xml:space="preserve"> that align with WorkSource Services Catalog? </w:t>
                  </w:r>
                </w:p>
                <w:p w14:paraId="38B8C42D" w14:textId="77777777" w:rsidR="00D52EBC" w:rsidRPr="00D3141D" w:rsidRDefault="00D52EBC" w:rsidP="00837189">
                  <w:pPr>
                    <w:spacing w:after="0" w:line="240" w:lineRule="auto"/>
                    <w:rPr>
                      <w:rFonts w:eastAsia="Times New Roman" w:cstheme="minorHAnsi"/>
                      <w:color w:val="000000"/>
                    </w:rPr>
                  </w:pPr>
                </w:p>
              </w:tc>
            </w:tr>
            <w:tr w:rsidR="00D52EBC" w:rsidRPr="00D3141D" w14:paraId="12A7A1E5" w14:textId="77777777" w:rsidTr="003A29F3">
              <w:trPr>
                <w:trHeight w:val="616"/>
              </w:trPr>
              <w:tc>
                <w:tcPr>
                  <w:tcW w:w="3508" w:type="dxa"/>
                  <w:tcBorders>
                    <w:top w:val="nil"/>
                    <w:left w:val="single" w:sz="8" w:space="0" w:color="auto"/>
                    <w:bottom w:val="single" w:sz="4" w:space="0" w:color="auto"/>
                    <w:right w:val="single" w:sz="8" w:space="0" w:color="auto"/>
                  </w:tcBorders>
                  <w:shd w:val="clear" w:color="auto" w:fill="auto"/>
                  <w:noWrap/>
                  <w:vAlign w:val="bottom"/>
                  <w:hideMark/>
                </w:tcPr>
                <w:p w14:paraId="76B60D6E" w14:textId="77777777" w:rsidR="00D52EBC" w:rsidRPr="002E482D" w:rsidRDefault="00D52EBC" w:rsidP="00994188">
                  <w:pPr>
                    <w:spacing w:after="0" w:line="240" w:lineRule="auto"/>
                    <w:jc w:val="center"/>
                    <w:rPr>
                      <w:rFonts w:eastAsia="Times New Roman" w:cstheme="minorHAnsi"/>
                      <w:color w:val="000000"/>
                    </w:rPr>
                  </w:pPr>
                  <w:r w:rsidRPr="00D3141D">
                    <w:rPr>
                      <w:rFonts w:eastAsia="Times New Roman" w:cstheme="minorHAnsi"/>
                      <w:color w:val="000000"/>
                    </w:rPr>
                    <w:t>4B</w:t>
                  </w:r>
                </w:p>
                <w:p w14:paraId="2119E7B4" w14:textId="77777777" w:rsidR="00D52EBC" w:rsidRPr="002E482D" w:rsidRDefault="00D52EBC" w:rsidP="00994188">
                  <w:pPr>
                    <w:spacing w:after="0" w:line="240" w:lineRule="auto"/>
                    <w:jc w:val="center"/>
                    <w:rPr>
                      <w:rFonts w:eastAsia="Times New Roman" w:cstheme="minorHAnsi"/>
                      <w:color w:val="000000"/>
                    </w:rPr>
                  </w:pPr>
                </w:p>
                <w:p w14:paraId="79DAB22A" w14:textId="77777777" w:rsidR="00D52EBC" w:rsidRPr="00D3141D" w:rsidRDefault="00D52EBC" w:rsidP="00994188">
                  <w:pPr>
                    <w:spacing w:after="0" w:line="240" w:lineRule="auto"/>
                    <w:jc w:val="center"/>
                    <w:rPr>
                      <w:rFonts w:eastAsia="Times New Roman" w:cstheme="minorHAnsi"/>
                      <w:color w:val="000000"/>
                    </w:rPr>
                  </w:pPr>
                </w:p>
              </w:tc>
              <w:tc>
                <w:tcPr>
                  <w:tcW w:w="11097" w:type="dxa"/>
                  <w:tcBorders>
                    <w:top w:val="nil"/>
                    <w:left w:val="nil"/>
                    <w:bottom w:val="single" w:sz="4" w:space="0" w:color="auto"/>
                    <w:right w:val="single" w:sz="8" w:space="0" w:color="auto"/>
                  </w:tcBorders>
                  <w:shd w:val="clear" w:color="auto" w:fill="auto"/>
                  <w:vAlign w:val="center"/>
                  <w:hideMark/>
                </w:tcPr>
                <w:p w14:paraId="3BC1DFE0" w14:textId="78B77710" w:rsidR="00D52EBC" w:rsidRDefault="00D52EBC" w:rsidP="00837189">
                  <w:pPr>
                    <w:spacing w:after="0" w:line="240" w:lineRule="auto"/>
                    <w:rPr>
                      <w:rFonts w:eastAsia="Times New Roman" w:cstheme="minorHAnsi"/>
                      <w:color w:val="000000"/>
                    </w:rPr>
                  </w:pPr>
                  <w:r w:rsidRPr="00D3141D">
                    <w:rPr>
                      <w:rFonts w:eastAsia="Times New Roman" w:cstheme="minorHAnsi"/>
                      <w:color w:val="000000"/>
                    </w:rPr>
                    <w:t>Record contains evidence (desk side) Individual Career Services were provided</w:t>
                  </w:r>
                  <w:r>
                    <w:rPr>
                      <w:rFonts w:eastAsia="Times New Roman" w:cstheme="minorHAnsi"/>
                      <w:color w:val="000000"/>
                    </w:rPr>
                    <w:t xml:space="preserve"> that align with the WorkSource Services Catalog? </w:t>
                  </w:r>
                </w:p>
                <w:p w14:paraId="17B679FB" w14:textId="77777777" w:rsidR="00D52EBC" w:rsidRPr="00D3141D" w:rsidRDefault="00D52EBC" w:rsidP="00837189">
                  <w:pPr>
                    <w:spacing w:after="0" w:line="240" w:lineRule="auto"/>
                    <w:rPr>
                      <w:rFonts w:eastAsia="Times New Roman" w:cstheme="minorHAnsi"/>
                      <w:color w:val="000000"/>
                    </w:rPr>
                  </w:pPr>
                </w:p>
              </w:tc>
            </w:tr>
            <w:tr w:rsidR="00D52EBC" w:rsidRPr="00D3141D" w14:paraId="2EAC5B60" w14:textId="77777777" w:rsidTr="003A29F3">
              <w:trPr>
                <w:trHeight w:val="543"/>
              </w:trPr>
              <w:tc>
                <w:tcPr>
                  <w:tcW w:w="3508" w:type="dxa"/>
                  <w:tcBorders>
                    <w:top w:val="nil"/>
                    <w:left w:val="single" w:sz="8" w:space="0" w:color="auto"/>
                    <w:bottom w:val="single" w:sz="4" w:space="0" w:color="auto"/>
                    <w:right w:val="single" w:sz="8" w:space="0" w:color="auto"/>
                  </w:tcBorders>
                  <w:shd w:val="clear" w:color="auto" w:fill="auto"/>
                  <w:noWrap/>
                  <w:vAlign w:val="bottom"/>
                  <w:hideMark/>
                </w:tcPr>
                <w:p w14:paraId="0B0A1DB8" w14:textId="5F3AB800" w:rsidR="00D52EBC" w:rsidRPr="002E482D" w:rsidRDefault="00D52EBC" w:rsidP="00994188">
                  <w:pPr>
                    <w:spacing w:after="0" w:line="240" w:lineRule="auto"/>
                    <w:jc w:val="center"/>
                    <w:rPr>
                      <w:rFonts w:eastAsia="Times New Roman" w:cstheme="minorHAnsi"/>
                      <w:color w:val="000000"/>
                    </w:rPr>
                  </w:pPr>
                  <w:r w:rsidRPr="00D3141D">
                    <w:rPr>
                      <w:rFonts w:eastAsia="Times New Roman" w:cstheme="minorHAnsi"/>
                      <w:color w:val="000000"/>
                    </w:rPr>
                    <w:t>4C</w:t>
                  </w:r>
                </w:p>
                <w:p w14:paraId="1E22D52B" w14:textId="77777777" w:rsidR="00D52EBC" w:rsidRPr="00D3141D" w:rsidRDefault="00D52EBC" w:rsidP="00994188">
                  <w:pPr>
                    <w:spacing w:after="0" w:line="240" w:lineRule="auto"/>
                    <w:jc w:val="center"/>
                    <w:rPr>
                      <w:rFonts w:eastAsia="Times New Roman" w:cstheme="minorHAnsi"/>
                      <w:color w:val="000000"/>
                    </w:rPr>
                  </w:pPr>
                </w:p>
              </w:tc>
              <w:tc>
                <w:tcPr>
                  <w:tcW w:w="11097" w:type="dxa"/>
                  <w:tcBorders>
                    <w:top w:val="nil"/>
                    <w:left w:val="nil"/>
                    <w:bottom w:val="single" w:sz="4" w:space="0" w:color="auto"/>
                    <w:right w:val="single" w:sz="8" w:space="0" w:color="auto"/>
                  </w:tcBorders>
                  <w:shd w:val="clear" w:color="auto" w:fill="auto"/>
                  <w:vAlign w:val="center"/>
                  <w:hideMark/>
                </w:tcPr>
                <w:p w14:paraId="046B2D6E" w14:textId="6AB1B176" w:rsidR="00D52EBC" w:rsidRPr="00D3141D" w:rsidRDefault="00D52EBC" w:rsidP="00837189">
                  <w:pPr>
                    <w:spacing w:after="0" w:line="240" w:lineRule="auto"/>
                    <w:rPr>
                      <w:rFonts w:eastAsia="Times New Roman" w:cstheme="minorHAnsi"/>
                      <w:color w:val="000000"/>
                    </w:rPr>
                  </w:pPr>
                  <w:proofErr w:type="gramStart"/>
                  <w:r w:rsidRPr="00D3141D">
                    <w:rPr>
                      <w:rFonts w:eastAsia="Times New Roman" w:cstheme="minorHAnsi"/>
                      <w:color w:val="000000"/>
                    </w:rPr>
                    <w:t>Record</w:t>
                  </w:r>
                  <w:proofErr w:type="gramEnd"/>
                  <w:r w:rsidRPr="00D3141D">
                    <w:rPr>
                      <w:rFonts w:eastAsia="Times New Roman" w:cstheme="minorHAnsi"/>
                      <w:color w:val="000000"/>
                    </w:rPr>
                    <w:t xml:space="preserve"> contains evidence Basic Career Services (group) were provide</w:t>
                  </w:r>
                  <w:r>
                    <w:rPr>
                      <w:rFonts w:eastAsia="Times New Roman" w:cstheme="minorHAnsi"/>
                      <w:color w:val="000000"/>
                    </w:rPr>
                    <w:t xml:space="preserve">d that align with the WorkSource Services Catalog? </w:t>
                  </w:r>
                </w:p>
              </w:tc>
            </w:tr>
            <w:tr w:rsidR="00D52EBC" w:rsidRPr="00D3141D" w14:paraId="3B942068" w14:textId="77777777" w:rsidTr="003A29F3">
              <w:trPr>
                <w:trHeight w:val="488"/>
              </w:trPr>
              <w:tc>
                <w:tcPr>
                  <w:tcW w:w="3508"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14:paraId="253A4C8A" w14:textId="745FF5D9" w:rsidR="00D52EBC" w:rsidRPr="00C750DB" w:rsidRDefault="00D52EBC" w:rsidP="00994188">
                  <w:pPr>
                    <w:spacing w:after="0" w:line="240" w:lineRule="auto"/>
                    <w:jc w:val="center"/>
                    <w:rPr>
                      <w:rFonts w:asciiTheme="majorHAnsi" w:eastAsia="Times New Roman" w:hAnsiTheme="majorHAnsi" w:cstheme="majorHAnsi"/>
                      <w:sz w:val="24"/>
                      <w:szCs w:val="24"/>
                    </w:rPr>
                  </w:pPr>
                  <w:r w:rsidRPr="00D3141D">
                    <w:rPr>
                      <w:rFonts w:asciiTheme="majorHAnsi" w:eastAsia="Times New Roman" w:hAnsiTheme="majorHAnsi" w:cstheme="majorHAnsi"/>
                      <w:b/>
                      <w:bCs/>
                      <w:color w:val="000000"/>
                      <w:sz w:val="24"/>
                      <w:szCs w:val="24"/>
                    </w:rPr>
                    <w:t>ELEMENT</w:t>
                  </w:r>
                </w:p>
              </w:tc>
              <w:tc>
                <w:tcPr>
                  <w:tcW w:w="11097" w:type="dxa"/>
                  <w:tcBorders>
                    <w:top w:val="single" w:sz="4" w:space="0" w:color="auto"/>
                    <w:left w:val="single" w:sz="8" w:space="0" w:color="auto"/>
                    <w:bottom w:val="single" w:sz="4" w:space="0" w:color="auto"/>
                    <w:right w:val="single" w:sz="8" w:space="0" w:color="auto"/>
                  </w:tcBorders>
                  <w:shd w:val="clear" w:color="auto" w:fill="E7E6E6" w:themeFill="background2"/>
                  <w:noWrap/>
                  <w:vAlign w:val="bottom"/>
                  <w:hideMark/>
                </w:tcPr>
                <w:p w14:paraId="48971BBB" w14:textId="77777777" w:rsidR="00D52EBC" w:rsidRPr="00D3141D" w:rsidRDefault="00D52EBC" w:rsidP="00837189">
                  <w:pPr>
                    <w:spacing w:after="0" w:line="240" w:lineRule="auto"/>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UNEMPLOYMENT CLAIMANT SERVICES</w:t>
                  </w:r>
                </w:p>
              </w:tc>
            </w:tr>
            <w:tr w:rsidR="00D52EBC" w:rsidRPr="00D3141D" w14:paraId="2A60FFCD" w14:textId="77777777" w:rsidTr="003A29F3">
              <w:trPr>
                <w:trHeight w:val="452"/>
              </w:trPr>
              <w:tc>
                <w:tcPr>
                  <w:tcW w:w="350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32C2DD3" w14:textId="6AC8F216" w:rsidR="00D52EBC" w:rsidRPr="00D3141D" w:rsidRDefault="00D52EBC" w:rsidP="00994188">
                  <w:pPr>
                    <w:spacing w:after="0" w:line="240" w:lineRule="auto"/>
                    <w:jc w:val="center"/>
                    <w:rPr>
                      <w:rFonts w:eastAsia="Times New Roman" w:cstheme="minorHAnsi"/>
                      <w:color w:val="000000"/>
                    </w:rPr>
                  </w:pPr>
                  <w:r w:rsidRPr="00D3141D">
                    <w:rPr>
                      <w:rFonts w:eastAsia="Times New Roman" w:cstheme="minorHAnsi"/>
                      <w:color w:val="000000"/>
                    </w:rPr>
                    <w:t>5A</w:t>
                  </w:r>
                </w:p>
              </w:tc>
              <w:tc>
                <w:tcPr>
                  <w:tcW w:w="11097" w:type="dxa"/>
                  <w:tcBorders>
                    <w:top w:val="nil"/>
                    <w:left w:val="nil"/>
                    <w:bottom w:val="single" w:sz="4" w:space="0" w:color="auto"/>
                    <w:right w:val="single" w:sz="8" w:space="0" w:color="auto"/>
                  </w:tcBorders>
                  <w:shd w:val="clear" w:color="auto" w:fill="auto"/>
                  <w:vAlign w:val="bottom"/>
                </w:tcPr>
                <w:p w14:paraId="20E6ABCE" w14:textId="39FC1F6B" w:rsidR="00D52EBC" w:rsidRPr="00D3141D" w:rsidRDefault="00D52EBC" w:rsidP="00837189">
                  <w:pPr>
                    <w:spacing w:after="0" w:line="240" w:lineRule="auto"/>
                    <w:rPr>
                      <w:rFonts w:eastAsia="Times New Roman" w:cstheme="minorHAnsi"/>
                      <w:color w:val="000000"/>
                    </w:rPr>
                  </w:pPr>
                  <w:r w:rsidRPr="00D3141D">
                    <w:rPr>
                      <w:rFonts w:eastAsia="Times New Roman" w:cstheme="minorHAnsi"/>
                      <w:color w:val="000000"/>
                    </w:rPr>
                    <w:t xml:space="preserve">Records contains evidence that UI </w:t>
                  </w:r>
                  <w:r w:rsidRPr="002E482D">
                    <w:rPr>
                      <w:rFonts w:eastAsia="Times New Roman" w:cstheme="minorHAnsi"/>
                      <w:color w:val="000000"/>
                    </w:rPr>
                    <w:t>Eligible</w:t>
                  </w:r>
                  <w:r w:rsidRPr="00D3141D">
                    <w:rPr>
                      <w:rFonts w:eastAsia="Times New Roman" w:cstheme="minorHAnsi"/>
                      <w:color w:val="000000"/>
                    </w:rPr>
                    <w:t xml:space="preserve"> claimants were provided information about </w:t>
                  </w:r>
                  <w:r>
                    <w:rPr>
                      <w:rFonts w:eastAsia="Times New Roman" w:cstheme="minorHAnsi"/>
                      <w:color w:val="000000"/>
                    </w:rPr>
                    <w:t>WorkSource</w:t>
                  </w:r>
                  <w:r w:rsidRPr="00D3141D">
                    <w:rPr>
                      <w:rFonts w:eastAsia="Times New Roman" w:cstheme="minorHAnsi"/>
                      <w:color w:val="000000"/>
                    </w:rPr>
                    <w:t xml:space="preserve"> </w:t>
                  </w:r>
                  <w:r w:rsidRPr="002E482D">
                    <w:rPr>
                      <w:rFonts w:eastAsia="Times New Roman" w:cstheme="minorHAnsi"/>
                      <w:color w:val="000000"/>
                    </w:rPr>
                    <w:t>services?</w:t>
                  </w:r>
                </w:p>
              </w:tc>
            </w:tr>
            <w:tr w:rsidR="00D52EBC" w:rsidRPr="00D3141D" w14:paraId="6080DE74" w14:textId="77777777" w:rsidTr="007E59D2">
              <w:trPr>
                <w:trHeight w:val="362"/>
              </w:trPr>
              <w:tc>
                <w:tcPr>
                  <w:tcW w:w="3508" w:type="dxa"/>
                  <w:tcBorders>
                    <w:top w:val="nil"/>
                    <w:left w:val="single" w:sz="8" w:space="0" w:color="auto"/>
                    <w:bottom w:val="nil"/>
                    <w:right w:val="single" w:sz="4" w:space="0" w:color="auto"/>
                  </w:tcBorders>
                  <w:shd w:val="clear" w:color="auto" w:fill="auto"/>
                  <w:noWrap/>
                  <w:vAlign w:val="bottom"/>
                </w:tcPr>
                <w:p w14:paraId="54A0C6C0" w14:textId="41B9355F" w:rsidR="00D52EBC" w:rsidRPr="00D3141D" w:rsidRDefault="00D52EBC" w:rsidP="00994188">
                  <w:pPr>
                    <w:spacing w:after="0" w:line="240" w:lineRule="auto"/>
                    <w:jc w:val="center"/>
                    <w:rPr>
                      <w:rFonts w:eastAsia="Times New Roman" w:cstheme="minorHAnsi"/>
                      <w:color w:val="000000"/>
                    </w:rPr>
                  </w:pPr>
                  <w:r w:rsidRPr="00D3141D">
                    <w:rPr>
                      <w:rFonts w:eastAsia="Times New Roman" w:cstheme="minorHAnsi"/>
                      <w:color w:val="000000"/>
                    </w:rPr>
                    <w:t>5B</w:t>
                  </w:r>
                </w:p>
              </w:tc>
              <w:tc>
                <w:tcPr>
                  <w:tcW w:w="11097" w:type="dxa"/>
                  <w:tcBorders>
                    <w:top w:val="single" w:sz="4" w:space="0" w:color="auto"/>
                    <w:left w:val="single" w:sz="4" w:space="0" w:color="auto"/>
                    <w:bottom w:val="single" w:sz="4" w:space="0" w:color="auto"/>
                    <w:right w:val="single" w:sz="4" w:space="0" w:color="auto"/>
                  </w:tcBorders>
                  <w:shd w:val="clear" w:color="auto" w:fill="auto"/>
                  <w:vAlign w:val="bottom"/>
                </w:tcPr>
                <w:p w14:paraId="36F597DB" w14:textId="794147D6" w:rsidR="00D52EBC" w:rsidRPr="00D3141D" w:rsidRDefault="00D52EBC" w:rsidP="00837189">
                  <w:pPr>
                    <w:spacing w:after="0" w:line="240" w:lineRule="auto"/>
                    <w:rPr>
                      <w:rFonts w:eastAsia="Times New Roman" w:cstheme="minorHAnsi"/>
                      <w:color w:val="000000"/>
                    </w:rPr>
                  </w:pPr>
                  <w:r w:rsidRPr="00D3141D">
                    <w:rPr>
                      <w:rFonts w:eastAsia="Times New Roman" w:cstheme="minorHAnsi"/>
                      <w:color w:val="000000"/>
                    </w:rPr>
                    <w:t xml:space="preserve">Records contain evidence of a Report of Potential Issue? </w:t>
                  </w:r>
                </w:p>
              </w:tc>
            </w:tr>
            <w:tr w:rsidR="003A29F3" w:rsidRPr="00D3141D" w14:paraId="04075064" w14:textId="77777777" w:rsidTr="00CF6DBE">
              <w:trPr>
                <w:trHeight w:val="414"/>
              </w:trPr>
              <w:tc>
                <w:tcPr>
                  <w:tcW w:w="14605" w:type="dxa"/>
                  <w:gridSpan w:val="2"/>
                  <w:tcBorders>
                    <w:top w:val="single" w:sz="8" w:space="0" w:color="auto"/>
                    <w:left w:val="single" w:sz="8" w:space="0" w:color="auto"/>
                    <w:bottom w:val="single" w:sz="8" w:space="0" w:color="auto"/>
                    <w:right w:val="single" w:sz="4" w:space="0" w:color="auto"/>
                  </w:tcBorders>
                  <w:shd w:val="clear" w:color="auto" w:fill="E7E6E6" w:themeFill="background2"/>
                  <w:noWrap/>
                  <w:vAlign w:val="bottom"/>
                </w:tcPr>
                <w:p w14:paraId="7B97A7A5" w14:textId="5798E491" w:rsidR="003A29F3" w:rsidRPr="00D3141D" w:rsidRDefault="003A29F3" w:rsidP="003A29F3">
                  <w:pPr>
                    <w:spacing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lastRenderedPageBreak/>
                    <w:t xml:space="preserve">Complaint </w:t>
                  </w:r>
                  <w:r w:rsidR="00BC100B">
                    <w:rPr>
                      <w:rFonts w:asciiTheme="majorHAnsi" w:eastAsia="Times New Roman" w:hAnsiTheme="majorHAnsi" w:cstheme="majorHAnsi"/>
                      <w:b/>
                      <w:bCs/>
                      <w:color w:val="000000"/>
                      <w:sz w:val="24"/>
                      <w:szCs w:val="24"/>
                    </w:rPr>
                    <w:t>Log and Record</w:t>
                  </w:r>
                  <w:r>
                    <w:rPr>
                      <w:rFonts w:asciiTheme="majorHAnsi" w:eastAsia="Times New Roman" w:hAnsiTheme="majorHAnsi" w:cstheme="majorHAnsi"/>
                      <w:b/>
                      <w:bCs/>
                      <w:color w:val="000000"/>
                      <w:sz w:val="24"/>
                      <w:szCs w:val="24"/>
                    </w:rPr>
                    <w:t xml:space="preserve"> Checklist</w:t>
                  </w:r>
                  <w:r w:rsidR="00B652DF">
                    <w:rPr>
                      <w:rFonts w:asciiTheme="majorHAnsi" w:eastAsia="Times New Roman" w:hAnsiTheme="majorHAnsi" w:cstheme="majorHAnsi"/>
                      <w:b/>
                      <w:bCs/>
                      <w:color w:val="000000"/>
                      <w:sz w:val="24"/>
                      <w:szCs w:val="24"/>
                    </w:rPr>
                    <w:t xml:space="preserve"> (Under Development)</w:t>
                  </w:r>
                </w:p>
              </w:tc>
            </w:tr>
            <w:tr w:rsidR="003A29F3" w:rsidRPr="00D3141D" w14:paraId="7215720F" w14:textId="77777777" w:rsidTr="008C30C6">
              <w:trPr>
                <w:trHeight w:val="403"/>
              </w:trPr>
              <w:tc>
                <w:tcPr>
                  <w:tcW w:w="3508"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0E7F0C2C" w14:textId="77777777" w:rsidR="003A29F3" w:rsidRPr="00D3141D" w:rsidRDefault="003A29F3" w:rsidP="008C30C6">
                  <w:pPr>
                    <w:spacing w:after="0" w:line="240" w:lineRule="auto"/>
                    <w:jc w:val="center"/>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ELEMENT</w:t>
                  </w:r>
                </w:p>
              </w:tc>
              <w:tc>
                <w:tcPr>
                  <w:tcW w:w="11097" w:type="dxa"/>
                  <w:tcBorders>
                    <w:top w:val="single" w:sz="8" w:space="0" w:color="auto"/>
                    <w:left w:val="nil"/>
                    <w:bottom w:val="single" w:sz="8" w:space="0" w:color="auto"/>
                    <w:right w:val="single" w:sz="4" w:space="0" w:color="auto"/>
                  </w:tcBorders>
                  <w:shd w:val="clear" w:color="auto" w:fill="E7E6E6" w:themeFill="background2"/>
                  <w:noWrap/>
                  <w:vAlign w:val="bottom"/>
                  <w:hideMark/>
                </w:tcPr>
                <w:p w14:paraId="3B02B639" w14:textId="2D63F43B" w:rsidR="003A29F3" w:rsidRPr="008C30C6" w:rsidRDefault="00BC100B" w:rsidP="008C30C6">
                  <w:pPr>
                    <w:jc w:val="both"/>
                    <w:rPr>
                      <w:rFonts w:ascii="Calibri" w:hAnsi="Calibri" w:cs="Calibri"/>
                      <w:color w:val="000000"/>
                    </w:rPr>
                  </w:pPr>
                  <w:r>
                    <w:rPr>
                      <w:rFonts w:asciiTheme="majorHAnsi" w:eastAsia="Times New Roman" w:hAnsiTheme="majorHAnsi" w:cstheme="majorHAnsi"/>
                      <w:b/>
                      <w:bCs/>
                      <w:color w:val="000000"/>
                      <w:sz w:val="24"/>
                      <w:szCs w:val="24"/>
                    </w:rPr>
                    <w:t>Complaint Log</w:t>
                  </w:r>
                  <w:r w:rsidR="008C30C6">
                    <w:rPr>
                      <w:rFonts w:asciiTheme="majorHAnsi" w:eastAsia="Times New Roman" w:hAnsiTheme="majorHAnsi" w:cstheme="majorHAnsi"/>
                      <w:b/>
                      <w:bCs/>
                      <w:color w:val="000000"/>
                      <w:sz w:val="24"/>
                      <w:szCs w:val="24"/>
                    </w:rPr>
                    <w:t>-</w:t>
                  </w:r>
                  <w:r w:rsidR="008C30C6">
                    <w:rPr>
                      <w:rFonts w:ascii="Calibri" w:hAnsi="Calibri" w:cs="Calibri"/>
                      <w:color w:val="000000"/>
                    </w:rPr>
                    <w:t xml:space="preserve"> Did the office document and maintain the documentation required for a complaint? </w:t>
                  </w:r>
                </w:p>
              </w:tc>
            </w:tr>
            <w:tr w:rsidR="003A29F3" w:rsidRPr="00D3141D" w14:paraId="5D03C19A" w14:textId="77777777" w:rsidTr="007E59D2">
              <w:trPr>
                <w:trHeight w:val="60"/>
              </w:trPr>
              <w:tc>
                <w:tcPr>
                  <w:tcW w:w="3508" w:type="dxa"/>
                  <w:tcBorders>
                    <w:top w:val="nil"/>
                    <w:left w:val="single" w:sz="8" w:space="0" w:color="auto"/>
                    <w:bottom w:val="single" w:sz="4" w:space="0" w:color="auto"/>
                    <w:right w:val="single" w:sz="8" w:space="0" w:color="auto"/>
                  </w:tcBorders>
                  <w:shd w:val="clear" w:color="auto" w:fill="auto"/>
                  <w:noWrap/>
                  <w:vAlign w:val="center"/>
                  <w:hideMark/>
                </w:tcPr>
                <w:p w14:paraId="280A6900" w14:textId="77777777" w:rsidR="003A29F3" w:rsidRPr="00D3141D" w:rsidRDefault="003A29F3" w:rsidP="00316FF9">
                  <w:pPr>
                    <w:spacing w:after="0" w:line="240" w:lineRule="auto"/>
                    <w:jc w:val="center"/>
                    <w:rPr>
                      <w:rFonts w:eastAsia="Times New Roman" w:cstheme="minorHAnsi"/>
                      <w:color w:val="000000"/>
                    </w:rPr>
                  </w:pPr>
                </w:p>
              </w:tc>
              <w:tc>
                <w:tcPr>
                  <w:tcW w:w="11097" w:type="dxa"/>
                  <w:tcBorders>
                    <w:top w:val="nil"/>
                    <w:left w:val="single" w:sz="8" w:space="0" w:color="auto"/>
                    <w:bottom w:val="single" w:sz="4" w:space="0" w:color="auto"/>
                    <w:right w:val="single" w:sz="4" w:space="0" w:color="auto"/>
                  </w:tcBorders>
                  <w:shd w:val="clear" w:color="auto" w:fill="auto"/>
                  <w:vAlign w:val="bottom"/>
                  <w:hideMark/>
                </w:tcPr>
                <w:p w14:paraId="07B7BAE6" w14:textId="77777777" w:rsidR="00BC100B" w:rsidRDefault="00BC100B" w:rsidP="00BC100B">
                  <w:pPr>
                    <w:pStyle w:val="ListParagraph"/>
                    <w:numPr>
                      <w:ilvl w:val="0"/>
                      <w:numId w:val="34"/>
                    </w:numPr>
                    <w:rPr>
                      <w:rFonts w:ascii="Calibri" w:hAnsi="Calibri" w:cs="Calibri"/>
                      <w:color w:val="000000"/>
                    </w:rPr>
                  </w:pPr>
                  <w:r>
                    <w:rPr>
                      <w:rFonts w:ascii="Calibri" w:hAnsi="Calibri" w:cs="Calibri"/>
                      <w:color w:val="000000"/>
                    </w:rPr>
                    <w:t>Name of Complainant</w:t>
                  </w:r>
                </w:p>
                <w:p w14:paraId="537FAFD3" w14:textId="77777777" w:rsidR="00BC100B" w:rsidRDefault="00BC100B" w:rsidP="00BC100B">
                  <w:pPr>
                    <w:pStyle w:val="ListParagraph"/>
                    <w:numPr>
                      <w:ilvl w:val="0"/>
                      <w:numId w:val="34"/>
                    </w:numPr>
                    <w:rPr>
                      <w:rFonts w:ascii="Calibri" w:hAnsi="Calibri" w:cs="Calibri"/>
                      <w:color w:val="000000"/>
                    </w:rPr>
                  </w:pPr>
                  <w:r>
                    <w:rPr>
                      <w:rFonts w:ascii="Calibri" w:hAnsi="Calibri" w:cs="Calibri"/>
                      <w:color w:val="000000"/>
                    </w:rPr>
                    <w:t>Name of Respondent</w:t>
                  </w:r>
                </w:p>
                <w:p w14:paraId="5CE2FD18" w14:textId="77777777" w:rsidR="00BC100B" w:rsidRDefault="00BC100B" w:rsidP="00BC100B">
                  <w:pPr>
                    <w:pStyle w:val="ListParagraph"/>
                    <w:numPr>
                      <w:ilvl w:val="0"/>
                      <w:numId w:val="34"/>
                    </w:numPr>
                    <w:rPr>
                      <w:rFonts w:ascii="Calibri" w:hAnsi="Calibri" w:cs="Calibri"/>
                      <w:color w:val="000000"/>
                    </w:rPr>
                  </w:pPr>
                  <w:r>
                    <w:rPr>
                      <w:rFonts w:ascii="Calibri" w:hAnsi="Calibri" w:cs="Calibri"/>
                      <w:color w:val="000000"/>
                    </w:rPr>
                    <w:t>Date Filed</w:t>
                  </w:r>
                </w:p>
                <w:p w14:paraId="06F4492F" w14:textId="77777777" w:rsidR="00BC100B" w:rsidRDefault="00BC100B" w:rsidP="00BC100B">
                  <w:pPr>
                    <w:pStyle w:val="ListParagraph"/>
                    <w:numPr>
                      <w:ilvl w:val="0"/>
                      <w:numId w:val="34"/>
                    </w:numPr>
                    <w:rPr>
                      <w:rFonts w:ascii="Calibri" w:hAnsi="Calibri" w:cs="Calibri"/>
                      <w:color w:val="000000"/>
                    </w:rPr>
                  </w:pPr>
                  <w:r>
                    <w:rPr>
                      <w:rFonts w:ascii="Calibri" w:hAnsi="Calibri" w:cs="Calibri"/>
                      <w:color w:val="000000"/>
                    </w:rPr>
                    <w:t>MSFW Status</w:t>
                  </w:r>
                </w:p>
                <w:p w14:paraId="6CCE9B18" w14:textId="77777777" w:rsidR="00BC100B" w:rsidRDefault="00BC100B" w:rsidP="00BC100B">
                  <w:pPr>
                    <w:pStyle w:val="ListParagraph"/>
                    <w:numPr>
                      <w:ilvl w:val="0"/>
                      <w:numId w:val="34"/>
                    </w:numPr>
                    <w:rPr>
                      <w:rFonts w:ascii="Calibri" w:hAnsi="Calibri" w:cs="Calibri"/>
                      <w:color w:val="000000"/>
                    </w:rPr>
                  </w:pPr>
                  <w:r>
                    <w:rPr>
                      <w:rFonts w:ascii="Calibri" w:hAnsi="Calibri" w:cs="Calibri"/>
                      <w:color w:val="000000"/>
                    </w:rPr>
                    <w:t>Type of Complaint</w:t>
                  </w:r>
                </w:p>
                <w:p w14:paraId="1B4710DB" w14:textId="77777777" w:rsidR="00BC100B" w:rsidRDefault="00BC100B" w:rsidP="00BC100B">
                  <w:pPr>
                    <w:pStyle w:val="ListParagraph"/>
                    <w:numPr>
                      <w:ilvl w:val="0"/>
                      <w:numId w:val="34"/>
                    </w:numPr>
                    <w:rPr>
                      <w:rFonts w:ascii="Calibri" w:hAnsi="Calibri" w:cs="Calibri"/>
                      <w:color w:val="000000"/>
                    </w:rPr>
                  </w:pPr>
                  <w:r>
                    <w:rPr>
                      <w:rFonts w:ascii="Calibri" w:hAnsi="Calibri" w:cs="Calibri"/>
                      <w:color w:val="000000"/>
                    </w:rPr>
                    <w:t>Enforcement Agency (Referred to Section)</w:t>
                  </w:r>
                </w:p>
                <w:p w14:paraId="18C634B5" w14:textId="77777777" w:rsidR="00BC100B" w:rsidRDefault="00BC100B" w:rsidP="00BC100B">
                  <w:pPr>
                    <w:pStyle w:val="ListParagraph"/>
                    <w:numPr>
                      <w:ilvl w:val="0"/>
                      <w:numId w:val="34"/>
                    </w:numPr>
                    <w:rPr>
                      <w:rFonts w:ascii="Calibri" w:hAnsi="Calibri" w:cs="Calibri"/>
                      <w:color w:val="000000"/>
                    </w:rPr>
                  </w:pPr>
                  <w:r>
                    <w:rPr>
                      <w:rFonts w:ascii="Calibri" w:hAnsi="Calibri" w:cs="Calibri"/>
                      <w:color w:val="000000"/>
                    </w:rPr>
                    <w:t>Action Taken</w:t>
                  </w:r>
                </w:p>
                <w:p w14:paraId="4D3DF599" w14:textId="7C0D9EE4" w:rsidR="00BC100B" w:rsidRPr="00BC100B" w:rsidRDefault="00BC100B" w:rsidP="00BC100B">
                  <w:pPr>
                    <w:pStyle w:val="ListParagraph"/>
                    <w:numPr>
                      <w:ilvl w:val="0"/>
                      <w:numId w:val="34"/>
                    </w:numPr>
                    <w:rPr>
                      <w:rFonts w:ascii="Calibri" w:hAnsi="Calibri" w:cs="Calibri"/>
                      <w:color w:val="000000"/>
                    </w:rPr>
                  </w:pPr>
                  <w:r>
                    <w:rPr>
                      <w:rFonts w:ascii="Calibri" w:hAnsi="Calibri" w:cs="Calibri"/>
                      <w:color w:val="000000"/>
                    </w:rPr>
                    <w:t>Resolution Status</w:t>
                  </w:r>
                </w:p>
              </w:tc>
            </w:tr>
            <w:tr w:rsidR="003A29F3" w:rsidRPr="00D3141D" w14:paraId="30B80369" w14:textId="77777777" w:rsidTr="008C30C6">
              <w:trPr>
                <w:trHeight w:val="414"/>
              </w:trPr>
              <w:tc>
                <w:tcPr>
                  <w:tcW w:w="3508" w:type="dxa"/>
                  <w:tcBorders>
                    <w:top w:val="single" w:sz="8" w:space="0" w:color="auto"/>
                    <w:left w:val="single" w:sz="8" w:space="0" w:color="auto"/>
                    <w:bottom w:val="nil"/>
                    <w:right w:val="single" w:sz="4" w:space="0" w:color="auto"/>
                  </w:tcBorders>
                  <w:shd w:val="clear" w:color="auto" w:fill="E7E6E6" w:themeFill="background2"/>
                  <w:noWrap/>
                  <w:vAlign w:val="center"/>
                  <w:hideMark/>
                </w:tcPr>
                <w:p w14:paraId="742714AC" w14:textId="5F068C28" w:rsidR="003A29F3" w:rsidRPr="00D3141D" w:rsidRDefault="003A29F3" w:rsidP="008C30C6">
                  <w:pPr>
                    <w:spacing w:after="0" w:line="240" w:lineRule="auto"/>
                    <w:jc w:val="center"/>
                    <w:rPr>
                      <w:rFonts w:asciiTheme="majorHAnsi" w:eastAsia="Times New Roman" w:hAnsiTheme="majorHAnsi" w:cstheme="majorHAnsi"/>
                      <w:b/>
                      <w:bCs/>
                      <w:color w:val="000000"/>
                      <w:sz w:val="24"/>
                      <w:szCs w:val="24"/>
                    </w:rPr>
                  </w:pPr>
                  <w:r w:rsidRPr="00C70840">
                    <w:rPr>
                      <w:rFonts w:asciiTheme="majorHAnsi" w:eastAsia="Times New Roman" w:hAnsiTheme="majorHAnsi" w:cstheme="majorHAnsi"/>
                      <w:b/>
                      <w:bCs/>
                      <w:color w:val="000000"/>
                      <w:sz w:val="24"/>
                      <w:szCs w:val="24"/>
                    </w:rPr>
                    <w:t>ELEMENT</w:t>
                  </w:r>
                </w:p>
              </w:tc>
              <w:tc>
                <w:tcPr>
                  <w:tcW w:w="11097" w:type="dxa"/>
                  <w:tcBorders>
                    <w:top w:val="single" w:sz="4" w:space="0" w:color="auto"/>
                    <w:left w:val="single" w:sz="4" w:space="0" w:color="auto"/>
                    <w:bottom w:val="single" w:sz="4" w:space="0" w:color="auto"/>
                    <w:right w:val="single" w:sz="8" w:space="0" w:color="auto"/>
                  </w:tcBorders>
                  <w:shd w:val="clear" w:color="auto" w:fill="E7E6E6" w:themeFill="background2"/>
                  <w:noWrap/>
                  <w:vAlign w:val="bottom"/>
                  <w:hideMark/>
                </w:tcPr>
                <w:p w14:paraId="1A51019F" w14:textId="30CDB6E1" w:rsidR="003A29F3" w:rsidRPr="008C30C6" w:rsidRDefault="00BC100B" w:rsidP="008C30C6">
                  <w:pPr>
                    <w:jc w:val="both"/>
                    <w:rPr>
                      <w:rFonts w:ascii="Calibri" w:hAnsi="Calibri" w:cs="Calibri"/>
                      <w:color w:val="000000"/>
                    </w:rPr>
                  </w:pPr>
                  <w:r>
                    <w:rPr>
                      <w:rFonts w:asciiTheme="majorHAnsi" w:eastAsia="Times New Roman" w:hAnsiTheme="majorHAnsi" w:cstheme="majorHAnsi"/>
                      <w:b/>
                      <w:bCs/>
                      <w:color w:val="000000"/>
                      <w:sz w:val="24"/>
                      <w:szCs w:val="24"/>
                    </w:rPr>
                    <w:t>Complaint Records</w:t>
                  </w:r>
                  <w:r w:rsidR="008C30C6">
                    <w:rPr>
                      <w:rFonts w:asciiTheme="majorHAnsi" w:eastAsia="Times New Roman" w:hAnsiTheme="majorHAnsi" w:cstheme="majorHAnsi"/>
                      <w:b/>
                      <w:bCs/>
                      <w:color w:val="000000"/>
                      <w:sz w:val="24"/>
                      <w:szCs w:val="24"/>
                    </w:rPr>
                    <w:t>-</w:t>
                  </w:r>
                  <w:r w:rsidR="008C30C6">
                    <w:rPr>
                      <w:rFonts w:ascii="Calibri" w:hAnsi="Calibri" w:cs="Calibri"/>
                      <w:color w:val="000000"/>
                    </w:rPr>
                    <w:t xml:space="preserve"> Did the office document and maintain the documentation required for a complaint? </w:t>
                  </w:r>
                </w:p>
              </w:tc>
            </w:tr>
            <w:tr w:rsidR="003A29F3" w:rsidRPr="00D3141D" w14:paraId="06C82901" w14:textId="77777777" w:rsidTr="007E59D2">
              <w:trPr>
                <w:trHeight w:val="331"/>
              </w:trPr>
              <w:tc>
                <w:tcPr>
                  <w:tcW w:w="35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A6DC4A" w14:textId="77777777" w:rsidR="003A29F3" w:rsidRPr="00D3141D" w:rsidRDefault="003A29F3" w:rsidP="00316FF9">
                  <w:pPr>
                    <w:spacing w:after="0" w:line="240" w:lineRule="auto"/>
                    <w:jc w:val="center"/>
                    <w:rPr>
                      <w:rFonts w:eastAsia="Times New Roman" w:cstheme="minorHAnsi"/>
                      <w:color w:val="000000"/>
                    </w:rPr>
                  </w:pPr>
                </w:p>
              </w:tc>
              <w:tc>
                <w:tcPr>
                  <w:tcW w:w="11097" w:type="dxa"/>
                  <w:tcBorders>
                    <w:top w:val="single" w:sz="4" w:space="0" w:color="auto"/>
                    <w:left w:val="nil"/>
                    <w:bottom w:val="single" w:sz="4" w:space="0" w:color="auto"/>
                    <w:right w:val="single" w:sz="8" w:space="0" w:color="auto"/>
                  </w:tcBorders>
                  <w:shd w:val="clear" w:color="auto" w:fill="auto"/>
                  <w:noWrap/>
                  <w:vAlign w:val="bottom"/>
                  <w:hideMark/>
                </w:tcPr>
                <w:p w14:paraId="55B3C66C" w14:textId="77777777" w:rsidR="00BC100B" w:rsidRDefault="00BC100B" w:rsidP="00BC100B">
                  <w:pPr>
                    <w:pStyle w:val="ListParagraph"/>
                    <w:numPr>
                      <w:ilvl w:val="0"/>
                      <w:numId w:val="35"/>
                    </w:numPr>
                    <w:jc w:val="both"/>
                    <w:rPr>
                      <w:rFonts w:ascii="Calibri" w:hAnsi="Calibri" w:cs="Calibri"/>
                      <w:color w:val="000000"/>
                    </w:rPr>
                  </w:pPr>
                  <w:r>
                    <w:rPr>
                      <w:rFonts w:ascii="Calibri" w:hAnsi="Calibri" w:cs="Calibri"/>
                      <w:color w:val="000000"/>
                    </w:rPr>
                    <w:t>Original Copy of Complaint Form</w:t>
                  </w:r>
                </w:p>
                <w:p w14:paraId="498E4B62" w14:textId="77777777" w:rsidR="00BC100B" w:rsidRDefault="00BC100B" w:rsidP="00BC100B">
                  <w:pPr>
                    <w:pStyle w:val="ListParagraph"/>
                    <w:numPr>
                      <w:ilvl w:val="0"/>
                      <w:numId w:val="35"/>
                    </w:numPr>
                    <w:jc w:val="both"/>
                    <w:rPr>
                      <w:rFonts w:ascii="Calibri" w:hAnsi="Calibri" w:cs="Calibri"/>
                      <w:color w:val="000000"/>
                    </w:rPr>
                  </w:pPr>
                  <w:r>
                    <w:rPr>
                      <w:rFonts w:ascii="Calibri" w:hAnsi="Calibri" w:cs="Calibri"/>
                      <w:color w:val="000000"/>
                    </w:rPr>
                    <w:t>Correspondence received/transmitted (originals if hard copy)</w:t>
                  </w:r>
                </w:p>
                <w:p w14:paraId="3102AA01" w14:textId="77777777" w:rsidR="00BC100B" w:rsidRDefault="00BC100B" w:rsidP="00BC100B">
                  <w:pPr>
                    <w:pStyle w:val="ListParagraph"/>
                    <w:numPr>
                      <w:ilvl w:val="0"/>
                      <w:numId w:val="35"/>
                    </w:numPr>
                    <w:jc w:val="both"/>
                    <w:rPr>
                      <w:rFonts w:ascii="Calibri" w:hAnsi="Calibri" w:cs="Calibri"/>
                      <w:color w:val="000000"/>
                    </w:rPr>
                  </w:pPr>
                  <w:r>
                    <w:rPr>
                      <w:rFonts w:ascii="Calibri" w:hAnsi="Calibri" w:cs="Calibri"/>
                      <w:color w:val="000000"/>
                    </w:rPr>
                    <w:t>Copies of Email Correspondences</w:t>
                  </w:r>
                </w:p>
                <w:p w14:paraId="0677EE1E" w14:textId="095DB2B1" w:rsidR="00BC100B" w:rsidRDefault="00BC100B" w:rsidP="00BC100B">
                  <w:pPr>
                    <w:pStyle w:val="ListParagraph"/>
                    <w:numPr>
                      <w:ilvl w:val="0"/>
                      <w:numId w:val="35"/>
                    </w:numPr>
                    <w:jc w:val="both"/>
                    <w:rPr>
                      <w:rFonts w:ascii="Calibri" w:hAnsi="Calibri" w:cs="Calibri"/>
                      <w:color w:val="000000"/>
                    </w:rPr>
                  </w:pPr>
                  <w:r>
                    <w:rPr>
                      <w:rFonts w:ascii="Calibri" w:hAnsi="Calibri" w:cs="Calibri"/>
                      <w:color w:val="000000"/>
                    </w:rPr>
                    <w:t>Cop</w:t>
                  </w:r>
                  <w:r w:rsidR="00EC4279">
                    <w:rPr>
                      <w:rFonts w:ascii="Calibri" w:hAnsi="Calibri" w:cs="Calibri"/>
                      <w:color w:val="000000"/>
                    </w:rPr>
                    <w:t>ies</w:t>
                  </w:r>
                  <w:r>
                    <w:rPr>
                      <w:rFonts w:ascii="Calibri" w:hAnsi="Calibri" w:cs="Calibri"/>
                      <w:color w:val="000000"/>
                    </w:rPr>
                    <w:t xml:space="preserve"> of Written or Typed Notes</w:t>
                  </w:r>
                </w:p>
                <w:p w14:paraId="5AA2F985" w14:textId="77777777" w:rsidR="00BC100B" w:rsidRDefault="00BC100B" w:rsidP="00BC100B">
                  <w:pPr>
                    <w:pStyle w:val="ListParagraph"/>
                    <w:numPr>
                      <w:ilvl w:val="0"/>
                      <w:numId w:val="35"/>
                    </w:numPr>
                    <w:jc w:val="both"/>
                    <w:rPr>
                      <w:rFonts w:ascii="Calibri" w:hAnsi="Calibri" w:cs="Calibri"/>
                      <w:color w:val="000000"/>
                    </w:rPr>
                  </w:pPr>
                  <w:r>
                    <w:rPr>
                      <w:rFonts w:ascii="Calibri" w:hAnsi="Calibri" w:cs="Calibri"/>
                      <w:color w:val="000000"/>
                    </w:rPr>
                    <w:t>Miscellaneous Items Relevant to Allegations (check stubs, work agreements, etc.)</w:t>
                  </w:r>
                </w:p>
                <w:p w14:paraId="4A5DAD24" w14:textId="206A69E4" w:rsidR="00BC100B" w:rsidRPr="00BC100B" w:rsidRDefault="00BC100B" w:rsidP="00BC100B">
                  <w:pPr>
                    <w:pStyle w:val="ListParagraph"/>
                    <w:numPr>
                      <w:ilvl w:val="0"/>
                      <w:numId w:val="35"/>
                    </w:numPr>
                    <w:jc w:val="both"/>
                    <w:rPr>
                      <w:rFonts w:ascii="Calibri" w:hAnsi="Calibri" w:cs="Calibri"/>
                      <w:color w:val="000000"/>
                    </w:rPr>
                  </w:pPr>
                  <w:r>
                    <w:rPr>
                      <w:rFonts w:ascii="Calibri" w:hAnsi="Calibri" w:cs="Calibri"/>
                      <w:color w:val="000000"/>
                    </w:rPr>
                    <w:t xml:space="preserve">MSFW Follow-up </w:t>
                  </w:r>
                </w:p>
              </w:tc>
            </w:tr>
          </w:tbl>
          <w:p w14:paraId="4DFB09B7" w14:textId="77777777" w:rsidR="00C5671B" w:rsidRDefault="00C5671B" w:rsidP="003B05B1">
            <w:pPr>
              <w:rPr>
                <w:rFonts w:cstheme="minorHAnsi"/>
                <w:b/>
              </w:rPr>
            </w:pPr>
          </w:p>
          <w:p w14:paraId="3B7B87D7" w14:textId="77777777" w:rsidR="00C5671B" w:rsidRDefault="00C5671B" w:rsidP="003B05B1">
            <w:pPr>
              <w:rPr>
                <w:rFonts w:cstheme="minorHAnsi"/>
                <w:b/>
              </w:rPr>
            </w:pPr>
          </w:p>
          <w:p w14:paraId="74EFE863" w14:textId="77777777" w:rsidR="00BC100B" w:rsidRDefault="00BC100B" w:rsidP="003B05B1">
            <w:pPr>
              <w:rPr>
                <w:rFonts w:cstheme="minorHAnsi"/>
                <w:b/>
              </w:rPr>
            </w:pPr>
          </w:p>
          <w:p w14:paraId="669B2A54" w14:textId="77777777" w:rsidR="00BC100B" w:rsidRDefault="00BC100B" w:rsidP="003B05B1">
            <w:pPr>
              <w:rPr>
                <w:rFonts w:cstheme="minorHAnsi"/>
                <w:b/>
              </w:rPr>
            </w:pPr>
          </w:p>
          <w:p w14:paraId="2F6C0C1C" w14:textId="77777777" w:rsidR="00BC100B" w:rsidRDefault="00BC100B" w:rsidP="003B05B1">
            <w:pPr>
              <w:rPr>
                <w:rFonts w:cstheme="minorHAnsi"/>
                <w:b/>
              </w:rPr>
            </w:pPr>
          </w:p>
          <w:p w14:paraId="69F4EC93" w14:textId="77777777" w:rsidR="00BC100B" w:rsidRDefault="00BC100B" w:rsidP="003B05B1">
            <w:pPr>
              <w:rPr>
                <w:rFonts w:cstheme="minorHAnsi"/>
                <w:b/>
              </w:rPr>
            </w:pPr>
          </w:p>
          <w:p w14:paraId="3E1289C7" w14:textId="77777777" w:rsidR="00BC100B" w:rsidRDefault="00BC100B" w:rsidP="003B05B1">
            <w:pPr>
              <w:rPr>
                <w:rFonts w:cstheme="minorHAnsi"/>
                <w:b/>
              </w:rPr>
            </w:pPr>
          </w:p>
          <w:p w14:paraId="730EE889" w14:textId="77777777" w:rsidR="00BC100B" w:rsidRDefault="00BC100B" w:rsidP="003B05B1">
            <w:pPr>
              <w:rPr>
                <w:rFonts w:cstheme="minorHAnsi"/>
                <w:b/>
              </w:rPr>
            </w:pPr>
          </w:p>
          <w:p w14:paraId="57F656E7" w14:textId="77777777" w:rsidR="00BC100B" w:rsidRDefault="00BC100B" w:rsidP="003B05B1">
            <w:pPr>
              <w:rPr>
                <w:rFonts w:cstheme="minorHAnsi"/>
                <w:b/>
              </w:rPr>
            </w:pPr>
          </w:p>
          <w:p w14:paraId="6027180C" w14:textId="77777777" w:rsidR="00BC100B" w:rsidRDefault="00BC100B" w:rsidP="003B05B1">
            <w:pPr>
              <w:rPr>
                <w:rFonts w:cstheme="minorHAnsi"/>
                <w:b/>
              </w:rPr>
            </w:pPr>
          </w:p>
          <w:p w14:paraId="2ECEB833" w14:textId="77777777" w:rsidR="00B652DF" w:rsidRDefault="00B652DF" w:rsidP="003B05B1">
            <w:pPr>
              <w:rPr>
                <w:rFonts w:cstheme="minorHAnsi"/>
                <w:b/>
              </w:rPr>
            </w:pPr>
          </w:p>
          <w:p w14:paraId="1FCF23B2" w14:textId="77777777" w:rsidR="00B652DF" w:rsidRDefault="00B652DF" w:rsidP="003B05B1">
            <w:pPr>
              <w:rPr>
                <w:rFonts w:cstheme="minorHAnsi"/>
                <w:b/>
              </w:rPr>
            </w:pPr>
          </w:p>
          <w:tbl>
            <w:tblPr>
              <w:tblW w:w="14605" w:type="dxa"/>
              <w:tblLayout w:type="fixed"/>
              <w:tblLook w:val="04A0" w:firstRow="1" w:lastRow="0" w:firstColumn="1" w:lastColumn="0" w:noHBand="0" w:noVBand="1"/>
            </w:tblPr>
            <w:tblGrid>
              <w:gridCol w:w="3508"/>
              <w:gridCol w:w="11097"/>
            </w:tblGrid>
            <w:tr w:rsidR="00BC100B" w:rsidRPr="00D3141D" w14:paraId="6E4B71F3" w14:textId="77777777" w:rsidTr="00241A71">
              <w:trPr>
                <w:trHeight w:val="414"/>
              </w:trPr>
              <w:tc>
                <w:tcPr>
                  <w:tcW w:w="14605" w:type="dxa"/>
                  <w:gridSpan w:val="2"/>
                  <w:tcBorders>
                    <w:top w:val="single" w:sz="8" w:space="0" w:color="auto"/>
                    <w:left w:val="single" w:sz="8" w:space="0" w:color="auto"/>
                    <w:bottom w:val="single" w:sz="8" w:space="0" w:color="auto"/>
                    <w:right w:val="single" w:sz="4" w:space="0" w:color="auto"/>
                  </w:tcBorders>
                  <w:shd w:val="clear" w:color="auto" w:fill="E7E6E6" w:themeFill="background2"/>
                  <w:noWrap/>
                  <w:vAlign w:val="bottom"/>
                </w:tcPr>
                <w:p w14:paraId="30B01612" w14:textId="6EB8D689" w:rsidR="00BC100B" w:rsidRPr="00D3141D" w:rsidRDefault="00BC100B" w:rsidP="00BC100B">
                  <w:pPr>
                    <w:spacing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lastRenderedPageBreak/>
                    <w:t>Equity Ratio and Service Level Indicator</w:t>
                  </w:r>
                  <w:r w:rsidR="00B652DF">
                    <w:rPr>
                      <w:rFonts w:asciiTheme="majorHAnsi" w:eastAsia="Times New Roman" w:hAnsiTheme="majorHAnsi" w:cstheme="majorHAnsi"/>
                      <w:b/>
                      <w:bCs/>
                      <w:color w:val="000000"/>
                      <w:sz w:val="24"/>
                      <w:szCs w:val="24"/>
                    </w:rPr>
                    <w:t xml:space="preserve"> (Under Development)</w:t>
                  </w:r>
                </w:p>
              </w:tc>
            </w:tr>
            <w:tr w:rsidR="00BC100B" w:rsidRPr="00D3141D" w14:paraId="68879564" w14:textId="77777777" w:rsidTr="008C30C6">
              <w:trPr>
                <w:trHeight w:val="414"/>
              </w:trPr>
              <w:tc>
                <w:tcPr>
                  <w:tcW w:w="3508"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5F5F6712" w14:textId="77777777" w:rsidR="00BC100B" w:rsidRPr="00D3141D" w:rsidRDefault="00BC100B" w:rsidP="008C30C6">
                  <w:pPr>
                    <w:spacing w:after="0" w:line="240" w:lineRule="auto"/>
                    <w:jc w:val="center"/>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ELEMENT</w:t>
                  </w:r>
                </w:p>
              </w:tc>
              <w:tc>
                <w:tcPr>
                  <w:tcW w:w="11097" w:type="dxa"/>
                  <w:tcBorders>
                    <w:top w:val="single" w:sz="8" w:space="0" w:color="auto"/>
                    <w:left w:val="nil"/>
                    <w:bottom w:val="single" w:sz="8" w:space="0" w:color="auto"/>
                    <w:right w:val="single" w:sz="4" w:space="0" w:color="auto"/>
                  </w:tcBorders>
                  <w:shd w:val="clear" w:color="auto" w:fill="E7E6E6" w:themeFill="background2"/>
                  <w:noWrap/>
                  <w:vAlign w:val="bottom"/>
                  <w:hideMark/>
                </w:tcPr>
                <w:p w14:paraId="6A01F7AD" w14:textId="4FA3E7BC" w:rsidR="00BC100B" w:rsidRPr="00B47353" w:rsidRDefault="00B47353" w:rsidP="00B47353">
                  <w:pPr>
                    <w:rPr>
                      <w:rFonts w:ascii="Calibri" w:hAnsi="Calibri" w:cs="Calibri"/>
                      <w:color w:val="000000"/>
                    </w:rPr>
                  </w:pPr>
                  <w:r>
                    <w:rPr>
                      <w:rFonts w:ascii="Calibri" w:hAnsi="Calibri" w:cs="Calibri"/>
                      <w:color w:val="000000"/>
                    </w:rPr>
                    <w:t>Equity Ratio Indicators</w:t>
                  </w:r>
                </w:p>
              </w:tc>
            </w:tr>
            <w:tr w:rsidR="00BC100B" w:rsidRPr="00D3141D" w14:paraId="387E2009" w14:textId="77777777" w:rsidTr="008C30C6">
              <w:trPr>
                <w:trHeight w:val="60"/>
              </w:trPr>
              <w:tc>
                <w:tcPr>
                  <w:tcW w:w="3508" w:type="dxa"/>
                  <w:tcBorders>
                    <w:top w:val="nil"/>
                    <w:left w:val="single" w:sz="8" w:space="0" w:color="auto"/>
                    <w:bottom w:val="single" w:sz="4" w:space="0" w:color="auto"/>
                    <w:right w:val="single" w:sz="8" w:space="0" w:color="auto"/>
                  </w:tcBorders>
                  <w:shd w:val="clear" w:color="auto" w:fill="auto"/>
                  <w:noWrap/>
                  <w:vAlign w:val="center"/>
                  <w:hideMark/>
                </w:tcPr>
                <w:p w14:paraId="6F9F194E" w14:textId="4B85368B" w:rsidR="00BC100B" w:rsidRPr="00D3141D" w:rsidRDefault="00BC100B" w:rsidP="008C30C6">
                  <w:pPr>
                    <w:spacing w:after="0" w:line="240" w:lineRule="auto"/>
                    <w:jc w:val="center"/>
                    <w:rPr>
                      <w:rFonts w:eastAsia="Times New Roman" w:cstheme="minorHAnsi"/>
                      <w:color w:val="000000"/>
                    </w:rPr>
                  </w:pPr>
                </w:p>
              </w:tc>
              <w:tc>
                <w:tcPr>
                  <w:tcW w:w="11097" w:type="dxa"/>
                  <w:tcBorders>
                    <w:top w:val="nil"/>
                    <w:left w:val="single" w:sz="8" w:space="0" w:color="auto"/>
                    <w:bottom w:val="single" w:sz="4" w:space="0" w:color="auto"/>
                    <w:right w:val="single" w:sz="4" w:space="0" w:color="auto"/>
                  </w:tcBorders>
                  <w:shd w:val="clear" w:color="auto" w:fill="auto"/>
                  <w:vAlign w:val="bottom"/>
                  <w:hideMark/>
                </w:tcPr>
                <w:p w14:paraId="7DFB3FFB" w14:textId="47779686" w:rsidR="00B47353" w:rsidRPr="00B47353" w:rsidRDefault="00B47353" w:rsidP="00B47353">
                  <w:pPr>
                    <w:rPr>
                      <w:rFonts w:ascii="Calibri" w:hAnsi="Calibri" w:cs="Calibri"/>
                      <w:color w:val="000000"/>
                    </w:rPr>
                  </w:pPr>
                  <w:r w:rsidRPr="00B47353">
                    <w:rPr>
                      <w:rFonts w:ascii="Calibri" w:hAnsi="Calibri" w:cs="Calibri"/>
                      <w:color w:val="000000"/>
                    </w:rPr>
                    <w:t>1. Received Staff-Assisted Basic Career Services</w:t>
                  </w:r>
                </w:p>
                <w:p w14:paraId="2AD27CCA" w14:textId="77777777" w:rsidR="00B47353" w:rsidRPr="00B47353" w:rsidRDefault="00B47353" w:rsidP="00B47353">
                  <w:pPr>
                    <w:rPr>
                      <w:rFonts w:ascii="Calibri" w:hAnsi="Calibri" w:cs="Calibri"/>
                      <w:color w:val="000000"/>
                    </w:rPr>
                  </w:pPr>
                  <w:r w:rsidRPr="00B47353">
                    <w:rPr>
                      <w:rFonts w:ascii="Calibri" w:hAnsi="Calibri" w:cs="Calibri"/>
                      <w:color w:val="000000"/>
                    </w:rPr>
                    <w:t>2. Received Staff-Assisted Career Guidance Services</w:t>
                  </w:r>
                </w:p>
                <w:p w14:paraId="680A2DEB" w14:textId="77777777" w:rsidR="00B47353" w:rsidRPr="00B47353" w:rsidRDefault="00B47353" w:rsidP="00B47353">
                  <w:pPr>
                    <w:rPr>
                      <w:rFonts w:ascii="Calibri" w:hAnsi="Calibri" w:cs="Calibri"/>
                      <w:color w:val="000000"/>
                    </w:rPr>
                  </w:pPr>
                  <w:r w:rsidRPr="00B47353">
                    <w:rPr>
                      <w:rFonts w:ascii="Calibri" w:hAnsi="Calibri" w:cs="Calibri"/>
                      <w:color w:val="000000"/>
                    </w:rPr>
                    <w:t>3. Receive Staff-Assisted Job Search Activities</w:t>
                  </w:r>
                </w:p>
                <w:p w14:paraId="699076B9" w14:textId="77777777" w:rsidR="00B47353" w:rsidRPr="00B47353" w:rsidRDefault="00B47353" w:rsidP="00B47353">
                  <w:pPr>
                    <w:rPr>
                      <w:rFonts w:ascii="Calibri" w:hAnsi="Calibri" w:cs="Calibri"/>
                      <w:color w:val="000000"/>
                    </w:rPr>
                  </w:pPr>
                  <w:r w:rsidRPr="00B47353">
                    <w:rPr>
                      <w:rFonts w:ascii="Calibri" w:hAnsi="Calibri" w:cs="Calibri"/>
                      <w:color w:val="000000"/>
                    </w:rPr>
                    <w:t>4. Referred to Employment (Not Currently Accurate per Elise McKnight)</w:t>
                  </w:r>
                </w:p>
                <w:p w14:paraId="662775B1" w14:textId="77777777" w:rsidR="00B47353" w:rsidRPr="00B47353" w:rsidRDefault="00B47353" w:rsidP="00B47353">
                  <w:pPr>
                    <w:rPr>
                      <w:rFonts w:ascii="Calibri" w:hAnsi="Calibri" w:cs="Calibri"/>
                      <w:color w:val="000000"/>
                    </w:rPr>
                  </w:pPr>
                  <w:r w:rsidRPr="00B47353">
                    <w:rPr>
                      <w:rFonts w:ascii="Calibri" w:hAnsi="Calibri" w:cs="Calibri"/>
                      <w:color w:val="000000"/>
                    </w:rPr>
                    <w:t>5. Received Unemployment Insurance (UI) Claim Assistance</w:t>
                  </w:r>
                </w:p>
                <w:p w14:paraId="12DAE304" w14:textId="77777777" w:rsidR="00B47353" w:rsidRPr="00B47353" w:rsidRDefault="00B47353" w:rsidP="00B47353">
                  <w:pPr>
                    <w:rPr>
                      <w:rFonts w:ascii="Calibri" w:hAnsi="Calibri" w:cs="Calibri"/>
                      <w:color w:val="000000"/>
                    </w:rPr>
                  </w:pPr>
                  <w:r w:rsidRPr="00B47353">
                    <w:rPr>
                      <w:rFonts w:ascii="Calibri" w:hAnsi="Calibri" w:cs="Calibri"/>
                      <w:color w:val="000000"/>
                    </w:rPr>
                    <w:t>6. Referred to Federal Training (Not Currently Accurate per Elise McKnight)</w:t>
                  </w:r>
                </w:p>
                <w:p w14:paraId="7243D084" w14:textId="77777777" w:rsidR="00B47353" w:rsidRPr="00B47353" w:rsidRDefault="00B47353" w:rsidP="00B47353">
                  <w:pPr>
                    <w:rPr>
                      <w:rFonts w:ascii="Calibri" w:hAnsi="Calibri" w:cs="Calibri"/>
                      <w:color w:val="000000"/>
                    </w:rPr>
                  </w:pPr>
                  <w:r w:rsidRPr="00B47353">
                    <w:rPr>
                      <w:rFonts w:ascii="Calibri" w:hAnsi="Calibri" w:cs="Calibri"/>
                      <w:color w:val="000000"/>
                    </w:rPr>
                    <w:t>7. Referred to Other Federal State Assistance</w:t>
                  </w:r>
                </w:p>
                <w:p w14:paraId="30AB58E5" w14:textId="2EA33D68" w:rsidR="00BC100B" w:rsidRPr="00B47353" w:rsidRDefault="00B47353" w:rsidP="00B47353">
                  <w:pPr>
                    <w:rPr>
                      <w:rFonts w:ascii="Calibri" w:hAnsi="Calibri" w:cs="Calibri"/>
                      <w:color w:val="000000"/>
                    </w:rPr>
                  </w:pPr>
                  <w:r w:rsidRPr="00B47353">
                    <w:rPr>
                      <w:rFonts w:ascii="Calibri" w:hAnsi="Calibri" w:cs="Calibri"/>
                      <w:color w:val="000000"/>
                    </w:rPr>
                    <w:t>8. Received Individualized Career Services</w:t>
                  </w:r>
                </w:p>
              </w:tc>
            </w:tr>
            <w:tr w:rsidR="00BC100B" w:rsidRPr="00D3141D" w14:paraId="37ADA2A6" w14:textId="77777777" w:rsidTr="008C30C6">
              <w:trPr>
                <w:trHeight w:val="414"/>
              </w:trPr>
              <w:tc>
                <w:tcPr>
                  <w:tcW w:w="3508" w:type="dxa"/>
                  <w:tcBorders>
                    <w:top w:val="single" w:sz="8" w:space="0" w:color="auto"/>
                    <w:left w:val="single" w:sz="8" w:space="0" w:color="auto"/>
                    <w:bottom w:val="nil"/>
                    <w:right w:val="single" w:sz="4" w:space="0" w:color="auto"/>
                  </w:tcBorders>
                  <w:shd w:val="clear" w:color="auto" w:fill="E7E6E6" w:themeFill="background2"/>
                  <w:noWrap/>
                  <w:vAlign w:val="center"/>
                  <w:hideMark/>
                </w:tcPr>
                <w:p w14:paraId="599FC0C0" w14:textId="193BD0C5" w:rsidR="00BC100B" w:rsidRPr="00D3141D" w:rsidRDefault="00BC100B" w:rsidP="008C30C6">
                  <w:pPr>
                    <w:spacing w:after="0" w:line="240" w:lineRule="auto"/>
                    <w:jc w:val="center"/>
                    <w:rPr>
                      <w:rFonts w:asciiTheme="majorHAnsi" w:eastAsia="Times New Roman" w:hAnsiTheme="majorHAnsi" w:cstheme="majorHAnsi"/>
                      <w:b/>
                      <w:bCs/>
                      <w:color w:val="000000"/>
                      <w:sz w:val="24"/>
                      <w:szCs w:val="24"/>
                    </w:rPr>
                  </w:pPr>
                  <w:r w:rsidRPr="00C70840">
                    <w:rPr>
                      <w:rFonts w:asciiTheme="majorHAnsi" w:eastAsia="Times New Roman" w:hAnsiTheme="majorHAnsi" w:cstheme="majorHAnsi"/>
                      <w:b/>
                      <w:bCs/>
                      <w:color w:val="000000"/>
                      <w:sz w:val="24"/>
                      <w:szCs w:val="24"/>
                    </w:rPr>
                    <w:t>ELEMENT</w:t>
                  </w:r>
                </w:p>
              </w:tc>
              <w:tc>
                <w:tcPr>
                  <w:tcW w:w="11097" w:type="dxa"/>
                  <w:tcBorders>
                    <w:top w:val="single" w:sz="4" w:space="0" w:color="auto"/>
                    <w:left w:val="single" w:sz="4" w:space="0" w:color="auto"/>
                    <w:bottom w:val="single" w:sz="4" w:space="0" w:color="auto"/>
                    <w:right w:val="single" w:sz="8" w:space="0" w:color="auto"/>
                  </w:tcBorders>
                  <w:shd w:val="clear" w:color="auto" w:fill="E7E6E6" w:themeFill="background2"/>
                  <w:noWrap/>
                  <w:vAlign w:val="bottom"/>
                  <w:hideMark/>
                </w:tcPr>
                <w:p w14:paraId="60B26A87" w14:textId="30279FBB" w:rsidR="00BC100B" w:rsidRPr="00D3141D" w:rsidRDefault="00B47353" w:rsidP="00BC100B">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Service Level Indicators</w:t>
                  </w:r>
                </w:p>
              </w:tc>
            </w:tr>
            <w:tr w:rsidR="00BC100B" w:rsidRPr="00D3141D" w14:paraId="2E5D20DE" w14:textId="77777777" w:rsidTr="008C30C6">
              <w:trPr>
                <w:trHeight w:val="331"/>
              </w:trPr>
              <w:tc>
                <w:tcPr>
                  <w:tcW w:w="35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51CF27" w14:textId="77777777" w:rsidR="00BC100B" w:rsidRPr="00D3141D" w:rsidRDefault="00BC100B" w:rsidP="00316FF9">
                  <w:pPr>
                    <w:spacing w:after="0" w:line="240" w:lineRule="auto"/>
                    <w:jc w:val="center"/>
                    <w:rPr>
                      <w:rFonts w:eastAsia="Times New Roman" w:cstheme="minorHAnsi"/>
                      <w:color w:val="000000"/>
                    </w:rPr>
                  </w:pPr>
                </w:p>
              </w:tc>
              <w:tc>
                <w:tcPr>
                  <w:tcW w:w="11097" w:type="dxa"/>
                  <w:tcBorders>
                    <w:top w:val="single" w:sz="4" w:space="0" w:color="auto"/>
                    <w:left w:val="nil"/>
                    <w:bottom w:val="single" w:sz="4" w:space="0" w:color="auto"/>
                    <w:right w:val="single" w:sz="8" w:space="0" w:color="auto"/>
                  </w:tcBorders>
                  <w:shd w:val="clear" w:color="auto" w:fill="auto"/>
                  <w:noWrap/>
                  <w:vAlign w:val="bottom"/>
                  <w:hideMark/>
                </w:tcPr>
                <w:p w14:paraId="743B5D2D" w14:textId="77777777" w:rsidR="00B47353" w:rsidRPr="00B47353" w:rsidRDefault="00BC100B" w:rsidP="00B47353">
                  <w:pPr>
                    <w:jc w:val="both"/>
                    <w:rPr>
                      <w:rFonts w:ascii="Calibri" w:hAnsi="Calibri" w:cs="Calibri"/>
                      <w:color w:val="000000"/>
                    </w:rPr>
                  </w:pPr>
                  <w:r w:rsidRPr="00B47353">
                    <w:rPr>
                      <w:rFonts w:ascii="Calibri" w:hAnsi="Calibri" w:cs="Calibri"/>
                      <w:color w:val="000000"/>
                    </w:rPr>
                    <w:t xml:space="preserve"> </w:t>
                  </w:r>
                  <w:r w:rsidR="00B47353" w:rsidRPr="00B47353">
                    <w:rPr>
                      <w:rFonts w:ascii="Calibri" w:hAnsi="Calibri" w:cs="Calibri"/>
                      <w:color w:val="000000"/>
                    </w:rPr>
                    <w:t>1. Individuals Placed in a Job (ER Q2)</w:t>
                  </w:r>
                </w:p>
                <w:p w14:paraId="24728BE6" w14:textId="77777777" w:rsidR="00B47353" w:rsidRPr="00B47353" w:rsidRDefault="00B47353" w:rsidP="00B47353">
                  <w:pPr>
                    <w:jc w:val="both"/>
                    <w:rPr>
                      <w:rFonts w:ascii="Calibri" w:hAnsi="Calibri" w:cs="Calibri"/>
                      <w:color w:val="000000"/>
                    </w:rPr>
                  </w:pPr>
                  <w:r w:rsidRPr="00B47353">
                    <w:rPr>
                      <w:rFonts w:ascii="Calibri" w:hAnsi="Calibri" w:cs="Calibri"/>
                      <w:color w:val="000000"/>
                    </w:rPr>
                    <w:t>2. Median Earnings of Individuals in Unsubsidized Employment</w:t>
                  </w:r>
                </w:p>
                <w:p w14:paraId="596DB678" w14:textId="77777777" w:rsidR="00B47353" w:rsidRPr="00B47353" w:rsidRDefault="00B47353" w:rsidP="00B47353">
                  <w:pPr>
                    <w:jc w:val="both"/>
                    <w:rPr>
                      <w:rFonts w:ascii="Calibri" w:hAnsi="Calibri" w:cs="Calibri"/>
                      <w:color w:val="000000"/>
                    </w:rPr>
                  </w:pPr>
                  <w:r w:rsidRPr="00B47353">
                    <w:rPr>
                      <w:rFonts w:ascii="Calibri" w:hAnsi="Calibri" w:cs="Calibri"/>
                      <w:color w:val="000000"/>
                    </w:rPr>
                    <w:t>3. Individuals Placed in Long Term Non-Agricultural Jobs (ER Q2)</w:t>
                  </w:r>
                </w:p>
                <w:p w14:paraId="67C5E7DE" w14:textId="60FDF11C" w:rsidR="00BC100B" w:rsidRPr="00B47353" w:rsidRDefault="00B47353" w:rsidP="00B47353">
                  <w:pPr>
                    <w:jc w:val="both"/>
                    <w:rPr>
                      <w:rFonts w:ascii="Calibri" w:hAnsi="Calibri" w:cs="Calibri"/>
                      <w:color w:val="000000"/>
                    </w:rPr>
                  </w:pPr>
                  <w:r w:rsidRPr="00B47353">
                    <w:rPr>
                      <w:rFonts w:ascii="Calibri" w:hAnsi="Calibri" w:cs="Calibri"/>
                      <w:color w:val="000000"/>
                    </w:rPr>
                    <w:t>4. Employment Rate 4th Quarter after Exit</w:t>
                  </w:r>
                </w:p>
              </w:tc>
            </w:tr>
          </w:tbl>
          <w:p w14:paraId="628558E4" w14:textId="77777777" w:rsidR="00BC100B" w:rsidRDefault="00BC100B" w:rsidP="003B05B1">
            <w:pPr>
              <w:rPr>
                <w:rFonts w:cstheme="minorHAnsi"/>
                <w:b/>
              </w:rPr>
            </w:pPr>
          </w:p>
          <w:p w14:paraId="576B674F" w14:textId="77777777" w:rsidR="009C49F8" w:rsidRDefault="009C49F8" w:rsidP="003B05B1">
            <w:pPr>
              <w:rPr>
                <w:rFonts w:cstheme="minorHAnsi"/>
                <w:b/>
              </w:rPr>
            </w:pPr>
          </w:p>
          <w:p w14:paraId="63C6783E" w14:textId="77777777" w:rsidR="009C49F8" w:rsidRDefault="009C49F8" w:rsidP="003B05B1">
            <w:pPr>
              <w:rPr>
                <w:rFonts w:cstheme="minorHAnsi"/>
                <w:b/>
              </w:rPr>
            </w:pPr>
          </w:p>
          <w:p w14:paraId="25AFB67F" w14:textId="77777777" w:rsidR="009C49F8" w:rsidRDefault="009C49F8" w:rsidP="003B05B1">
            <w:pPr>
              <w:rPr>
                <w:rFonts w:cstheme="minorHAnsi"/>
                <w:b/>
              </w:rPr>
            </w:pPr>
          </w:p>
          <w:p w14:paraId="47ACB798" w14:textId="77777777" w:rsidR="009C49F8" w:rsidRDefault="009C49F8" w:rsidP="003B05B1">
            <w:pPr>
              <w:rPr>
                <w:rFonts w:cstheme="minorHAnsi"/>
                <w:b/>
              </w:rPr>
            </w:pPr>
          </w:p>
          <w:p w14:paraId="116CB658" w14:textId="77777777" w:rsidR="009C49F8" w:rsidRDefault="009C49F8" w:rsidP="003B05B1">
            <w:pPr>
              <w:rPr>
                <w:rFonts w:cstheme="minorHAnsi"/>
                <w:b/>
              </w:rPr>
            </w:pPr>
          </w:p>
          <w:p w14:paraId="0591685C" w14:textId="77777777" w:rsidR="009C49F8" w:rsidRDefault="009C49F8" w:rsidP="003B05B1">
            <w:pPr>
              <w:rPr>
                <w:rFonts w:cstheme="minorHAnsi"/>
                <w:b/>
              </w:rPr>
            </w:pPr>
          </w:p>
          <w:p w14:paraId="3079FC23" w14:textId="77777777" w:rsidR="009C49F8" w:rsidRDefault="009C49F8" w:rsidP="003B05B1">
            <w:pPr>
              <w:rPr>
                <w:rFonts w:cstheme="minorHAnsi"/>
                <w:b/>
              </w:rPr>
            </w:pPr>
          </w:p>
          <w:p w14:paraId="009A8E00" w14:textId="77777777" w:rsidR="007E59D2" w:rsidRDefault="007E59D2" w:rsidP="003B05B1">
            <w:pPr>
              <w:rPr>
                <w:rFonts w:cstheme="minorHAnsi"/>
                <w:b/>
              </w:rPr>
            </w:pPr>
          </w:p>
          <w:tbl>
            <w:tblPr>
              <w:tblW w:w="14605" w:type="dxa"/>
              <w:tblLayout w:type="fixed"/>
              <w:tblLook w:val="04A0" w:firstRow="1" w:lastRow="0" w:firstColumn="1" w:lastColumn="0" w:noHBand="0" w:noVBand="1"/>
            </w:tblPr>
            <w:tblGrid>
              <w:gridCol w:w="3508"/>
              <w:gridCol w:w="11097"/>
            </w:tblGrid>
            <w:tr w:rsidR="009C49F8" w:rsidRPr="00D3141D" w14:paraId="418C85AE" w14:textId="77777777" w:rsidTr="008047D4">
              <w:trPr>
                <w:trHeight w:val="414"/>
              </w:trPr>
              <w:tc>
                <w:tcPr>
                  <w:tcW w:w="14605" w:type="dxa"/>
                  <w:gridSpan w:val="2"/>
                  <w:tcBorders>
                    <w:top w:val="single" w:sz="8" w:space="0" w:color="auto"/>
                    <w:left w:val="single" w:sz="8" w:space="0" w:color="auto"/>
                    <w:bottom w:val="single" w:sz="8" w:space="0" w:color="auto"/>
                    <w:right w:val="single" w:sz="4" w:space="0" w:color="auto"/>
                  </w:tcBorders>
                  <w:shd w:val="clear" w:color="auto" w:fill="E7E6E6" w:themeFill="background2"/>
                  <w:noWrap/>
                  <w:vAlign w:val="bottom"/>
                </w:tcPr>
                <w:p w14:paraId="23A30F3E" w14:textId="742F7D9B" w:rsidR="009C49F8" w:rsidRPr="00D3141D" w:rsidRDefault="009C49F8" w:rsidP="009C49F8">
                  <w:pPr>
                    <w:spacing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lastRenderedPageBreak/>
                    <w:t xml:space="preserve">MSFW </w:t>
                  </w:r>
                  <w:proofErr w:type="gramStart"/>
                  <w:r>
                    <w:rPr>
                      <w:rFonts w:asciiTheme="majorHAnsi" w:eastAsia="Times New Roman" w:hAnsiTheme="majorHAnsi" w:cstheme="majorHAnsi"/>
                      <w:b/>
                      <w:bCs/>
                      <w:color w:val="000000"/>
                      <w:sz w:val="24"/>
                      <w:szCs w:val="24"/>
                    </w:rPr>
                    <w:t>Outreach  (</w:t>
                  </w:r>
                  <w:proofErr w:type="gramEnd"/>
                  <w:r>
                    <w:rPr>
                      <w:rFonts w:asciiTheme="majorHAnsi" w:eastAsia="Times New Roman" w:hAnsiTheme="majorHAnsi" w:cstheme="majorHAnsi"/>
                      <w:b/>
                      <w:bCs/>
                      <w:color w:val="000000"/>
                      <w:sz w:val="24"/>
                      <w:szCs w:val="24"/>
                    </w:rPr>
                    <w:t>Under Development)</w:t>
                  </w:r>
                </w:p>
              </w:tc>
            </w:tr>
            <w:tr w:rsidR="009C49F8" w:rsidRPr="00B47353" w14:paraId="0779E891" w14:textId="77777777" w:rsidTr="008047D4">
              <w:trPr>
                <w:trHeight w:val="414"/>
              </w:trPr>
              <w:tc>
                <w:tcPr>
                  <w:tcW w:w="3508"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46F13AFA" w14:textId="77777777" w:rsidR="009C49F8" w:rsidRPr="00D3141D" w:rsidRDefault="009C49F8" w:rsidP="009C49F8">
                  <w:pPr>
                    <w:spacing w:after="0" w:line="240" w:lineRule="auto"/>
                    <w:jc w:val="center"/>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ELEMENT</w:t>
                  </w:r>
                </w:p>
              </w:tc>
              <w:tc>
                <w:tcPr>
                  <w:tcW w:w="11097" w:type="dxa"/>
                  <w:tcBorders>
                    <w:top w:val="single" w:sz="8" w:space="0" w:color="auto"/>
                    <w:left w:val="nil"/>
                    <w:bottom w:val="single" w:sz="8" w:space="0" w:color="auto"/>
                    <w:right w:val="single" w:sz="4" w:space="0" w:color="auto"/>
                  </w:tcBorders>
                  <w:shd w:val="clear" w:color="auto" w:fill="E7E6E6" w:themeFill="background2"/>
                  <w:noWrap/>
                  <w:vAlign w:val="bottom"/>
                  <w:hideMark/>
                </w:tcPr>
                <w:p w14:paraId="2F706FB3" w14:textId="639736F2" w:rsidR="009C49F8" w:rsidRPr="009C49F8" w:rsidRDefault="009C49F8" w:rsidP="009C49F8">
                  <w:pPr>
                    <w:rPr>
                      <w:rFonts w:ascii="Calibri Light" w:hAnsi="Calibri Light" w:cs="Calibri Light"/>
                      <w:b/>
                      <w:bCs/>
                      <w:color w:val="000000"/>
                    </w:rPr>
                  </w:pPr>
                  <w:r>
                    <w:rPr>
                      <w:rFonts w:asciiTheme="majorHAnsi" w:eastAsia="Times New Roman" w:hAnsiTheme="majorHAnsi" w:cstheme="majorHAnsi"/>
                      <w:b/>
                      <w:bCs/>
                      <w:color w:val="000000"/>
                      <w:sz w:val="24"/>
                      <w:szCs w:val="24"/>
                    </w:rPr>
                    <w:t>Review of Daily Outreach Logs</w:t>
                  </w:r>
                </w:p>
              </w:tc>
            </w:tr>
            <w:tr w:rsidR="009C49F8" w:rsidRPr="00B47353" w14:paraId="56BEE711" w14:textId="77777777" w:rsidTr="008047D4">
              <w:trPr>
                <w:trHeight w:val="60"/>
              </w:trPr>
              <w:tc>
                <w:tcPr>
                  <w:tcW w:w="3508" w:type="dxa"/>
                  <w:tcBorders>
                    <w:top w:val="nil"/>
                    <w:left w:val="single" w:sz="8" w:space="0" w:color="auto"/>
                    <w:bottom w:val="single" w:sz="4" w:space="0" w:color="auto"/>
                    <w:right w:val="single" w:sz="8" w:space="0" w:color="auto"/>
                  </w:tcBorders>
                  <w:shd w:val="clear" w:color="auto" w:fill="auto"/>
                  <w:noWrap/>
                  <w:vAlign w:val="center"/>
                  <w:hideMark/>
                </w:tcPr>
                <w:p w14:paraId="6ADBC18A" w14:textId="77777777" w:rsidR="009C49F8" w:rsidRPr="00D3141D" w:rsidRDefault="009C49F8" w:rsidP="009C49F8">
                  <w:pPr>
                    <w:spacing w:after="0" w:line="240" w:lineRule="auto"/>
                    <w:jc w:val="center"/>
                    <w:rPr>
                      <w:rFonts w:eastAsia="Times New Roman" w:cstheme="minorHAnsi"/>
                      <w:color w:val="000000"/>
                    </w:rPr>
                  </w:pPr>
                </w:p>
              </w:tc>
              <w:tc>
                <w:tcPr>
                  <w:tcW w:w="11097" w:type="dxa"/>
                  <w:tcBorders>
                    <w:top w:val="nil"/>
                    <w:left w:val="single" w:sz="8" w:space="0" w:color="auto"/>
                    <w:bottom w:val="single" w:sz="4" w:space="0" w:color="auto"/>
                    <w:right w:val="single" w:sz="4" w:space="0" w:color="auto"/>
                  </w:tcBorders>
                  <w:shd w:val="clear" w:color="auto" w:fill="auto"/>
                  <w:vAlign w:val="bottom"/>
                  <w:hideMark/>
                </w:tcPr>
                <w:p w14:paraId="4A7C4BC6" w14:textId="77777777" w:rsidR="009C49F8" w:rsidRPr="009C49F8" w:rsidRDefault="009C49F8" w:rsidP="009C49F8">
                  <w:pPr>
                    <w:pStyle w:val="ListParagraph"/>
                    <w:numPr>
                      <w:ilvl w:val="0"/>
                      <w:numId w:val="38"/>
                    </w:numPr>
                    <w:rPr>
                      <w:rFonts w:ascii="Calibri" w:hAnsi="Calibri" w:cs="Calibri"/>
                      <w:color w:val="000000"/>
                    </w:rPr>
                  </w:pPr>
                  <w:r w:rsidRPr="009C49F8">
                    <w:rPr>
                      <w:rFonts w:ascii="Calibri" w:hAnsi="Calibri" w:cs="Calibri"/>
                      <w:color w:val="000000"/>
                    </w:rPr>
                    <w:t xml:space="preserve">Maintained outreach daily log? </w:t>
                  </w:r>
                </w:p>
                <w:p w14:paraId="1D73C658" w14:textId="77777777" w:rsidR="009C49F8" w:rsidRPr="009C49F8" w:rsidRDefault="009C49F8" w:rsidP="009C49F8">
                  <w:pPr>
                    <w:pStyle w:val="ListParagraph"/>
                    <w:numPr>
                      <w:ilvl w:val="0"/>
                      <w:numId w:val="38"/>
                    </w:numPr>
                    <w:rPr>
                      <w:rFonts w:ascii="Calibri" w:hAnsi="Calibri" w:cs="Calibri"/>
                      <w:color w:val="000000"/>
                    </w:rPr>
                  </w:pPr>
                  <w:r w:rsidRPr="009C49F8">
                    <w:rPr>
                      <w:rFonts w:ascii="Calibri" w:hAnsi="Calibri" w:cs="Calibri"/>
                      <w:color w:val="000000"/>
                    </w:rPr>
                    <w:t xml:space="preserve">Number of MSFW contacts listed? </w:t>
                  </w:r>
                </w:p>
                <w:p w14:paraId="7D8CE885" w14:textId="77777777" w:rsidR="009C49F8" w:rsidRPr="009C49F8" w:rsidRDefault="009C49F8" w:rsidP="009C49F8">
                  <w:pPr>
                    <w:pStyle w:val="ListParagraph"/>
                    <w:numPr>
                      <w:ilvl w:val="0"/>
                      <w:numId w:val="38"/>
                    </w:numPr>
                    <w:rPr>
                      <w:rFonts w:ascii="Calibri" w:hAnsi="Calibri" w:cs="Calibri"/>
                      <w:color w:val="000000"/>
                    </w:rPr>
                  </w:pPr>
                  <w:r w:rsidRPr="009C49F8">
                    <w:rPr>
                      <w:rFonts w:ascii="Calibri" w:hAnsi="Calibri" w:cs="Calibri"/>
                      <w:color w:val="000000"/>
                    </w:rPr>
                    <w:t xml:space="preserve">Names of MSFW when required? </w:t>
                  </w:r>
                </w:p>
                <w:p w14:paraId="21C12C41" w14:textId="77777777" w:rsidR="009C49F8" w:rsidRPr="009C49F8" w:rsidRDefault="009C49F8" w:rsidP="009C49F8">
                  <w:pPr>
                    <w:pStyle w:val="ListParagraph"/>
                    <w:numPr>
                      <w:ilvl w:val="0"/>
                      <w:numId w:val="38"/>
                    </w:numPr>
                    <w:rPr>
                      <w:rFonts w:ascii="Calibri" w:hAnsi="Calibri" w:cs="Calibri"/>
                      <w:color w:val="000000"/>
                    </w:rPr>
                  </w:pPr>
                  <w:r w:rsidRPr="009C49F8">
                    <w:rPr>
                      <w:rFonts w:ascii="Calibri" w:hAnsi="Calibri" w:cs="Calibri"/>
                      <w:color w:val="000000"/>
                    </w:rPr>
                    <w:t xml:space="preserve">Is there a list of services provided? </w:t>
                  </w:r>
                </w:p>
                <w:p w14:paraId="0ACB8FDC" w14:textId="77777777" w:rsidR="009C49F8" w:rsidRPr="009C49F8" w:rsidRDefault="009C49F8" w:rsidP="009C49F8">
                  <w:pPr>
                    <w:pStyle w:val="ListParagraph"/>
                    <w:numPr>
                      <w:ilvl w:val="0"/>
                      <w:numId w:val="38"/>
                    </w:numPr>
                    <w:rPr>
                      <w:rFonts w:ascii="Calibri" w:hAnsi="Calibri" w:cs="Calibri"/>
                      <w:color w:val="000000"/>
                    </w:rPr>
                  </w:pPr>
                  <w:r w:rsidRPr="009C49F8">
                    <w:rPr>
                      <w:rFonts w:ascii="Calibri" w:hAnsi="Calibri" w:cs="Calibri"/>
                      <w:color w:val="000000"/>
                    </w:rPr>
                    <w:t xml:space="preserve">Are logs complete and accurate? </w:t>
                  </w:r>
                </w:p>
                <w:p w14:paraId="01167CD0" w14:textId="3E5AA105" w:rsidR="009C49F8" w:rsidRPr="009C49F8" w:rsidRDefault="009C49F8" w:rsidP="009C49F8">
                  <w:pPr>
                    <w:pStyle w:val="ListParagraph"/>
                    <w:numPr>
                      <w:ilvl w:val="0"/>
                      <w:numId w:val="38"/>
                    </w:numPr>
                    <w:rPr>
                      <w:rFonts w:ascii="Calibri" w:hAnsi="Calibri" w:cs="Calibri"/>
                      <w:color w:val="000000"/>
                    </w:rPr>
                  </w:pPr>
                  <w:r w:rsidRPr="009C49F8">
                    <w:rPr>
                      <w:rFonts w:ascii="Calibri" w:hAnsi="Calibri" w:cs="Calibri"/>
                      <w:color w:val="000000"/>
                    </w:rPr>
                    <w:t xml:space="preserve">Was </w:t>
                  </w:r>
                  <w:proofErr w:type="gramStart"/>
                  <w:r w:rsidRPr="009C49F8">
                    <w:rPr>
                      <w:rFonts w:ascii="Calibri" w:hAnsi="Calibri" w:cs="Calibri"/>
                      <w:color w:val="000000"/>
                    </w:rPr>
                    <w:t>the majority of</w:t>
                  </w:r>
                  <w:proofErr w:type="gramEnd"/>
                  <w:r w:rsidRPr="009C49F8">
                    <w:rPr>
                      <w:rFonts w:ascii="Calibri" w:hAnsi="Calibri" w:cs="Calibri"/>
                      <w:color w:val="000000"/>
                    </w:rPr>
                    <w:t xml:space="preserve"> the outreach workers time spent in the field conducing outreach?</w:t>
                  </w:r>
                </w:p>
              </w:tc>
            </w:tr>
            <w:tr w:rsidR="009C49F8" w:rsidRPr="00D3141D" w14:paraId="33B0D457" w14:textId="77777777" w:rsidTr="008047D4">
              <w:trPr>
                <w:trHeight w:val="414"/>
              </w:trPr>
              <w:tc>
                <w:tcPr>
                  <w:tcW w:w="3508" w:type="dxa"/>
                  <w:tcBorders>
                    <w:top w:val="single" w:sz="8" w:space="0" w:color="auto"/>
                    <w:left w:val="single" w:sz="8" w:space="0" w:color="auto"/>
                    <w:bottom w:val="nil"/>
                    <w:right w:val="single" w:sz="4" w:space="0" w:color="auto"/>
                  </w:tcBorders>
                  <w:shd w:val="clear" w:color="auto" w:fill="E7E6E6" w:themeFill="background2"/>
                  <w:noWrap/>
                  <w:vAlign w:val="center"/>
                  <w:hideMark/>
                </w:tcPr>
                <w:p w14:paraId="74B35728" w14:textId="77777777" w:rsidR="009C49F8" w:rsidRPr="00D3141D" w:rsidRDefault="009C49F8" w:rsidP="009C49F8">
                  <w:pPr>
                    <w:spacing w:after="0" w:line="240" w:lineRule="auto"/>
                    <w:jc w:val="center"/>
                    <w:rPr>
                      <w:rFonts w:asciiTheme="majorHAnsi" w:eastAsia="Times New Roman" w:hAnsiTheme="majorHAnsi" w:cstheme="majorHAnsi"/>
                      <w:b/>
                      <w:bCs/>
                      <w:color w:val="000000"/>
                      <w:sz w:val="24"/>
                      <w:szCs w:val="24"/>
                    </w:rPr>
                  </w:pPr>
                  <w:r w:rsidRPr="00C70840">
                    <w:rPr>
                      <w:rFonts w:asciiTheme="majorHAnsi" w:eastAsia="Times New Roman" w:hAnsiTheme="majorHAnsi" w:cstheme="majorHAnsi"/>
                      <w:b/>
                      <w:bCs/>
                      <w:color w:val="000000"/>
                      <w:sz w:val="24"/>
                      <w:szCs w:val="24"/>
                    </w:rPr>
                    <w:t>ELEMENT</w:t>
                  </w:r>
                </w:p>
              </w:tc>
              <w:tc>
                <w:tcPr>
                  <w:tcW w:w="11097" w:type="dxa"/>
                  <w:tcBorders>
                    <w:top w:val="single" w:sz="4" w:space="0" w:color="auto"/>
                    <w:left w:val="single" w:sz="4" w:space="0" w:color="auto"/>
                    <w:bottom w:val="single" w:sz="4" w:space="0" w:color="auto"/>
                    <w:right w:val="single" w:sz="8" w:space="0" w:color="auto"/>
                  </w:tcBorders>
                  <w:shd w:val="clear" w:color="auto" w:fill="E7E6E6" w:themeFill="background2"/>
                  <w:noWrap/>
                  <w:vAlign w:val="bottom"/>
                  <w:hideMark/>
                </w:tcPr>
                <w:p w14:paraId="1F2398FD" w14:textId="475F244A" w:rsidR="009C49F8" w:rsidRPr="00D3141D" w:rsidRDefault="009C49F8" w:rsidP="009C49F8">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Planned Outreach</w:t>
                  </w:r>
                </w:p>
              </w:tc>
            </w:tr>
            <w:tr w:rsidR="009C49F8" w:rsidRPr="00B47353" w14:paraId="6AC4CCC0" w14:textId="77777777" w:rsidTr="008047D4">
              <w:trPr>
                <w:trHeight w:val="331"/>
              </w:trPr>
              <w:tc>
                <w:tcPr>
                  <w:tcW w:w="35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CECA73" w14:textId="77777777" w:rsidR="009C49F8" w:rsidRPr="00D3141D" w:rsidRDefault="009C49F8" w:rsidP="009C49F8">
                  <w:pPr>
                    <w:spacing w:after="0" w:line="240" w:lineRule="auto"/>
                    <w:jc w:val="center"/>
                    <w:rPr>
                      <w:rFonts w:eastAsia="Times New Roman" w:cstheme="minorHAnsi"/>
                      <w:color w:val="000000"/>
                    </w:rPr>
                  </w:pPr>
                </w:p>
              </w:tc>
              <w:tc>
                <w:tcPr>
                  <w:tcW w:w="11097" w:type="dxa"/>
                  <w:tcBorders>
                    <w:top w:val="single" w:sz="4" w:space="0" w:color="auto"/>
                    <w:left w:val="nil"/>
                    <w:bottom w:val="single" w:sz="4" w:space="0" w:color="auto"/>
                    <w:right w:val="single" w:sz="8" w:space="0" w:color="auto"/>
                  </w:tcBorders>
                  <w:shd w:val="clear" w:color="auto" w:fill="auto"/>
                  <w:noWrap/>
                  <w:vAlign w:val="bottom"/>
                  <w:hideMark/>
                </w:tcPr>
                <w:p w14:paraId="15396423" w14:textId="2026E76D" w:rsidR="009C49F8" w:rsidRDefault="009C49F8" w:rsidP="009C49F8">
                  <w:pPr>
                    <w:jc w:val="both"/>
                    <w:rPr>
                      <w:rFonts w:ascii="Calibri" w:hAnsi="Calibri" w:cs="Calibri"/>
                      <w:color w:val="000000"/>
                    </w:rPr>
                  </w:pPr>
                  <w:r w:rsidRPr="00B47353">
                    <w:rPr>
                      <w:rFonts w:ascii="Calibri" w:hAnsi="Calibri" w:cs="Calibri"/>
                      <w:color w:val="000000"/>
                    </w:rPr>
                    <w:t xml:space="preserve"> </w:t>
                  </w:r>
                  <w:r>
                    <w:rPr>
                      <w:rFonts w:ascii="Calibri" w:hAnsi="Calibri" w:cs="Calibri"/>
                      <w:color w:val="000000"/>
                    </w:rPr>
                    <w:t>Review office outreach plan (excel document on EC Programs One-Stop)</w:t>
                  </w:r>
                </w:p>
                <w:p w14:paraId="16ABD02F" w14:textId="7630CDCF" w:rsidR="009C49F8" w:rsidRDefault="009C49F8" w:rsidP="009C49F8">
                  <w:pPr>
                    <w:pStyle w:val="ListParagraph"/>
                    <w:numPr>
                      <w:ilvl w:val="0"/>
                      <w:numId w:val="39"/>
                    </w:numPr>
                    <w:jc w:val="both"/>
                    <w:rPr>
                      <w:rFonts w:ascii="Calibri" w:hAnsi="Calibri" w:cs="Calibri"/>
                      <w:color w:val="000000"/>
                    </w:rPr>
                  </w:pPr>
                  <w:r>
                    <w:rPr>
                      <w:rFonts w:ascii="Calibri" w:hAnsi="Calibri" w:cs="Calibri"/>
                      <w:color w:val="000000"/>
                    </w:rPr>
                    <w:t xml:space="preserve">Is </w:t>
                  </w:r>
                  <w:r w:rsidR="00526170">
                    <w:rPr>
                      <w:rFonts w:ascii="Calibri" w:hAnsi="Calibri" w:cs="Calibri"/>
                      <w:color w:val="000000"/>
                    </w:rPr>
                    <w:t>the office</w:t>
                  </w:r>
                  <w:r>
                    <w:rPr>
                      <w:rFonts w:ascii="Calibri" w:hAnsi="Calibri" w:cs="Calibri"/>
                      <w:color w:val="000000"/>
                    </w:rPr>
                    <w:t xml:space="preserve"> on track to meet the yearly outreach days/</w:t>
                  </w:r>
                  <w:proofErr w:type="gramStart"/>
                  <w:r>
                    <w:rPr>
                      <w:rFonts w:ascii="Calibri" w:hAnsi="Calibri" w:cs="Calibri"/>
                      <w:color w:val="000000"/>
                    </w:rPr>
                    <w:t>hours</w:t>
                  </w:r>
                  <w:proofErr w:type="gramEnd"/>
                  <w:r>
                    <w:rPr>
                      <w:rFonts w:ascii="Calibri" w:hAnsi="Calibri" w:cs="Calibri"/>
                      <w:color w:val="000000"/>
                    </w:rPr>
                    <w:t xml:space="preserve"> goal? </w:t>
                  </w:r>
                </w:p>
                <w:p w14:paraId="7BEDD210" w14:textId="76AAF166" w:rsidR="009C49F8" w:rsidRPr="009C49F8" w:rsidRDefault="009C49F8" w:rsidP="009C49F8">
                  <w:pPr>
                    <w:pStyle w:val="ListParagraph"/>
                    <w:numPr>
                      <w:ilvl w:val="0"/>
                      <w:numId w:val="39"/>
                    </w:numPr>
                    <w:jc w:val="both"/>
                    <w:rPr>
                      <w:rFonts w:ascii="Calibri" w:hAnsi="Calibri" w:cs="Calibri"/>
                      <w:color w:val="000000"/>
                    </w:rPr>
                  </w:pPr>
                  <w:r>
                    <w:rPr>
                      <w:rFonts w:ascii="Calibri" w:hAnsi="Calibri" w:cs="Calibri"/>
                      <w:color w:val="000000"/>
                    </w:rPr>
                    <w:t xml:space="preserve">Is the office meeting the expected number of MSFW contacts per outreach day? </w:t>
                  </w:r>
                </w:p>
                <w:p w14:paraId="4B788CF7" w14:textId="27FFF2BE" w:rsidR="009C49F8" w:rsidRPr="00B47353" w:rsidRDefault="009C49F8" w:rsidP="009C49F8">
                  <w:pPr>
                    <w:jc w:val="both"/>
                    <w:rPr>
                      <w:rFonts w:ascii="Calibri" w:hAnsi="Calibri" w:cs="Calibri"/>
                      <w:color w:val="000000"/>
                    </w:rPr>
                  </w:pPr>
                </w:p>
              </w:tc>
            </w:tr>
          </w:tbl>
          <w:p w14:paraId="57EADA14" w14:textId="77777777" w:rsidR="007E59D2" w:rsidRDefault="007E59D2" w:rsidP="003B05B1">
            <w:pPr>
              <w:rPr>
                <w:rFonts w:cstheme="minorHAnsi"/>
                <w:b/>
              </w:rPr>
            </w:pPr>
          </w:p>
          <w:p w14:paraId="5B8DAEE6" w14:textId="77777777" w:rsidR="007E59D2" w:rsidRDefault="007E59D2" w:rsidP="003B05B1">
            <w:pPr>
              <w:rPr>
                <w:rFonts w:cstheme="minorHAnsi"/>
                <w:b/>
              </w:rPr>
            </w:pPr>
          </w:p>
          <w:p w14:paraId="5319706B" w14:textId="77777777" w:rsidR="007E59D2" w:rsidRDefault="007E59D2" w:rsidP="003B05B1">
            <w:pPr>
              <w:rPr>
                <w:rFonts w:cstheme="minorHAnsi"/>
                <w:b/>
              </w:rPr>
            </w:pPr>
          </w:p>
          <w:p w14:paraId="54D2822D" w14:textId="77777777" w:rsidR="007E59D2" w:rsidRDefault="007E59D2" w:rsidP="003B05B1">
            <w:pPr>
              <w:rPr>
                <w:rFonts w:cstheme="minorHAnsi"/>
                <w:b/>
              </w:rPr>
            </w:pPr>
          </w:p>
          <w:p w14:paraId="7989B64D" w14:textId="77777777" w:rsidR="008C30C6" w:rsidRDefault="008C30C6" w:rsidP="003B05B1">
            <w:pPr>
              <w:rPr>
                <w:rFonts w:cstheme="minorHAnsi"/>
                <w:b/>
              </w:rPr>
            </w:pPr>
          </w:p>
          <w:p w14:paraId="5CCD588C" w14:textId="77777777" w:rsidR="007E59D2" w:rsidRDefault="007E59D2" w:rsidP="003B05B1">
            <w:pPr>
              <w:rPr>
                <w:rFonts w:cstheme="minorHAnsi"/>
                <w:b/>
              </w:rPr>
            </w:pPr>
          </w:p>
          <w:p w14:paraId="412663A2" w14:textId="77777777" w:rsidR="009C49F8" w:rsidRDefault="009C49F8" w:rsidP="003B05B1">
            <w:pPr>
              <w:rPr>
                <w:rFonts w:cstheme="minorHAnsi"/>
                <w:b/>
              </w:rPr>
            </w:pPr>
          </w:p>
          <w:p w14:paraId="53292F4B" w14:textId="77777777" w:rsidR="009C49F8" w:rsidRDefault="009C49F8" w:rsidP="003B05B1">
            <w:pPr>
              <w:rPr>
                <w:rFonts w:cstheme="minorHAnsi"/>
                <w:b/>
              </w:rPr>
            </w:pPr>
          </w:p>
          <w:p w14:paraId="4D3A3D86" w14:textId="77777777" w:rsidR="009C49F8" w:rsidRDefault="009C49F8" w:rsidP="003B05B1">
            <w:pPr>
              <w:rPr>
                <w:rFonts w:cstheme="minorHAnsi"/>
                <w:b/>
              </w:rPr>
            </w:pPr>
          </w:p>
          <w:p w14:paraId="7C11B34C" w14:textId="77777777" w:rsidR="009C49F8" w:rsidRDefault="009C49F8" w:rsidP="003B05B1">
            <w:pPr>
              <w:rPr>
                <w:rFonts w:cstheme="minorHAnsi"/>
                <w:b/>
              </w:rPr>
            </w:pPr>
          </w:p>
          <w:p w14:paraId="1AD4B328" w14:textId="77777777" w:rsidR="009C49F8" w:rsidRDefault="009C49F8" w:rsidP="003B05B1">
            <w:pPr>
              <w:rPr>
                <w:rFonts w:cstheme="minorHAnsi"/>
                <w:b/>
              </w:rPr>
            </w:pPr>
          </w:p>
          <w:p w14:paraId="5DD5AE9D" w14:textId="77777777" w:rsidR="009C49F8" w:rsidRDefault="009C49F8" w:rsidP="003B05B1">
            <w:pPr>
              <w:rPr>
                <w:rFonts w:cstheme="minorHAnsi"/>
                <w:b/>
              </w:rPr>
            </w:pPr>
          </w:p>
          <w:p w14:paraId="1DF7E004" w14:textId="77777777" w:rsidR="009C49F8" w:rsidRDefault="009C49F8" w:rsidP="003B05B1">
            <w:pPr>
              <w:rPr>
                <w:rFonts w:cstheme="minorHAnsi"/>
                <w:b/>
              </w:rPr>
            </w:pPr>
          </w:p>
          <w:p w14:paraId="1109AF9A" w14:textId="77777777" w:rsidR="009C49F8" w:rsidRDefault="009C49F8" w:rsidP="003B05B1">
            <w:pPr>
              <w:rPr>
                <w:rFonts w:cstheme="minorHAnsi"/>
                <w:b/>
              </w:rPr>
            </w:pPr>
          </w:p>
          <w:p w14:paraId="5DDE39A1" w14:textId="77777777" w:rsidR="009C49F8" w:rsidRDefault="009C49F8" w:rsidP="003B05B1">
            <w:pPr>
              <w:rPr>
                <w:rFonts w:cstheme="minorHAnsi"/>
                <w:b/>
              </w:rPr>
            </w:pPr>
          </w:p>
          <w:p w14:paraId="79B363DA" w14:textId="77777777" w:rsidR="009C49F8" w:rsidRDefault="009C49F8" w:rsidP="003B05B1">
            <w:pPr>
              <w:rPr>
                <w:rFonts w:cstheme="minorHAnsi"/>
                <w:b/>
              </w:rPr>
            </w:pPr>
          </w:p>
          <w:tbl>
            <w:tblPr>
              <w:tblW w:w="14484" w:type="dxa"/>
              <w:tblLayout w:type="fixed"/>
              <w:tblLook w:val="04A0" w:firstRow="1" w:lastRow="0" w:firstColumn="1" w:lastColumn="0" w:noHBand="0" w:noVBand="1"/>
            </w:tblPr>
            <w:tblGrid>
              <w:gridCol w:w="3479"/>
              <w:gridCol w:w="11005"/>
            </w:tblGrid>
            <w:tr w:rsidR="004B7F90" w:rsidRPr="00D3141D" w14:paraId="6DC812A5" w14:textId="77777777" w:rsidTr="000D1A1A">
              <w:trPr>
                <w:trHeight w:val="768"/>
              </w:trPr>
              <w:tc>
                <w:tcPr>
                  <w:tcW w:w="14484" w:type="dxa"/>
                  <w:gridSpan w:val="2"/>
                  <w:tcBorders>
                    <w:top w:val="single" w:sz="8" w:space="0" w:color="auto"/>
                    <w:left w:val="single" w:sz="8" w:space="0" w:color="auto"/>
                    <w:bottom w:val="single" w:sz="8" w:space="0" w:color="auto"/>
                    <w:right w:val="single" w:sz="4" w:space="0" w:color="auto"/>
                  </w:tcBorders>
                  <w:shd w:val="clear" w:color="auto" w:fill="E7E6E6" w:themeFill="background2"/>
                  <w:noWrap/>
                  <w:vAlign w:val="bottom"/>
                </w:tcPr>
                <w:p w14:paraId="26FA5CD5" w14:textId="10F83E77" w:rsidR="004B7F90" w:rsidRPr="00D3141D" w:rsidRDefault="004B7F90" w:rsidP="004B7F90">
                  <w:pPr>
                    <w:spacing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lastRenderedPageBreak/>
                    <w:t xml:space="preserve">Agricultural Recruitment System </w:t>
                  </w:r>
                  <w:r w:rsidR="00C678ED">
                    <w:rPr>
                      <w:rFonts w:asciiTheme="majorHAnsi" w:eastAsia="Times New Roman" w:hAnsiTheme="majorHAnsi" w:cstheme="majorHAnsi"/>
                      <w:b/>
                      <w:bCs/>
                      <w:color w:val="000000"/>
                      <w:sz w:val="24"/>
                      <w:szCs w:val="24"/>
                    </w:rPr>
                    <w:t>Clearance</w:t>
                  </w:r>
                  <w:r>
                    <w:rPr>
                      <w:rFonts w:asciiTheme="majorHAnsi" w:eastAsia="Times New Roman" w:hAnsiTheme="majorHAnsi" w:cstheme="majorHAnsi"/>
                      <w:b/>
                      <w:bCs/>
                      <w:color w:val="000000"/>
                      <w:sz w:val="24"/>
                      <w:szCs w:val="24"/>
                    </w:rPr>
                    <w:t xml:space="preserve"> Order Checklist</w:t>
                  </w:r>
                  <w:r w:rsidR="00B652DF">
                    <w:rPr>
                      <w:rFonts w:asciiTheme="majorHAnsi" w:eastAsia="Times New Roman" w:hAnsiTheme="majorHAnsi" w:cstheme="majorHAnsi"/>
                      <w:b/>
                      <w:bCs/>
                      <w:color w:val="000000"/>
                      <w:sz w:val="24"/>
                      <w:szCs w:val="24"/>
                    </w:rPr>
                    <w:t xml:space="preserve"> (Under Development)</w:t>
                  </w:r>
                </w:p>
              </w:tc>
            </w:tr>
            <w:tr w:rsidR="004B7F90" w:rsidRPr="00D3141D" w14:paraId="5117DEB5" w14:textId="77777777" w:rsidTr="008C30C6">
              <w:trPr>
                <w:trHeight w:val="768"/>
              </w:trPr>
              <w:tc>
                <w:tcPr>
                  <w:tcW w:w="3479"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2F8037C8" w14:textId="77777777" w:rsidR="004B7F90" w:rsidRPr="00D3141D" w:rsidRDefault="004B7F90" w:rsidP="008C30C6">
                  <w:pPr>
                    <w:spacing w:after="0" w:line="240" w:lineRule="auto"/>
                    <w:jc w:val="center"/>
                    <w:rPr>
                      <w:rFonts w:asciiTheme="majorHAnsi" w:eastAsia="Times New Roman" w:hAnsiTheme="majorHAnsi" w:cstheme="majorHAnsi"/>
                      <w:b/>
                      <w:bCs/>
                      <w:color w:val="000000"/>
                      <w:sz w:val="24"/>
                      <w:szCs w:val="24"/>
                    </w:rPr>
                  </w:pPr>
                  <w:r w:rsidRPr="00D3141D">
                    <w:rPr>
                      <w:rFonts w:asciiTheme="majorHAnsi" w:eastAsia="Times New Roman" w:hAnsiTheme="majorHAnsi" w:cstheme="majorHAnsi"/>
                      <w:b/>
                      <w:bCs/>
                      <w:color w:val="000000"/>
                      <w:sz w:val="24"/>
                      <w:szCs w:val="24"/>
                    </w:rPr>
                    <w:t>ELEMENT</w:t>
                  </w:r>
                </w:p>
              </w:tc>
              <w:tc>
                <w:tcPr>
                  <w:tcW w:w="11005" w:type="dxa"/>
                  <w:tcBorders>
                    <w:top w:val="single" w:sz="8" w:space="0" w:color="auto"/>
                    <w:left w:val="nil"/>
                    <w:bottom w:val="single" w:sz="8" w:space="0" w:color="auto"/>
                    <w:right w:val="single" w:sz="4" w:space="0" w:color="auto"/>
                  </w:tcBorders>
                  <w:shd w:val="clear" w:color="auto" w:fill="E7E6E6" w:themeFill="background2"/>
                  <w:noWrap/>
                  <w:vAlign w:val="bottom"/>
                </w:tcPr>
                <w:p w14:paraId="64E8C69A" w14:textId="4C494928" w:rsidR="004B7F90" w:rsidRPr="00B47353" w:rsidRDefault="004B7F90" w:rsidP="004B7F90">
                  <w:pPr>
                    <w:rPr>
                      <w:rFonts w:ascii="Calibri" w:hAnsi="Calibri" w:cs="Calibri"/>
                      <w:color w:val="000000"/>
                    </w:rPr>
                  </w:pPr>
                </w:p>
              </w:tc>
            </w:tr>
            <w:tr w:rsidR="004B7F90" w:rsidRPr="00D3141D" w14:paraId="6C36CA84" w14:textId="77777777" w:rsidTr="008C30C6">
              <w:trPr>
                <w:trHeight w:val="111"/>
              </w:trPr>
              <w:tc>
                <w:tcPr>
                  <w:tcW w:w="3479" w:type="dxa"/>
                  <w:tcBorders>
                    <w:top w:val="nil"/>
                    <w:left w:val="single" w:sz="8" w:space="0" w:color="auto"/>
                    <w:bottom w:val="single" w:sz="4" w:space="0" w:color="auto"/>
                    <w:right w:val="single" w:sz="8" w:space="0" w:color="auto"/>
                  </w:tcBorders>
                  <w:shd w:val="clear" w:color="auto" w:fill="auto"/>
                  <w:noWrap/>
                  <w:vAlign w:val="center"/>
                  <w:hideMark/>
                </w:tcPr>
                <w:p w14:paraId="1BC79AA6" w14:textId="508A5939" w:rsidR="004B7F90" w:rsidRPr="00D3141D" w:rsidRDefault="004B7F90" w:rsidP="008C30C6">
                  <w:pPr>
                    <w:spacing w:after="0" w:line="240" w:lineRule="auto"/>
                    <w:jc w:val="center"/>
                    <w:rPr>
                      <w:rFonts w:eastAsia="Times New Roman" w:cstheme="minorHAnsi"/>
                      <w:color w:val="000000"/>
                    </w:rPr>
                  </w:pPr>
                </w:p>
              </w:tc>
              <w:tc>
                <w:tcPr>
                  <w:tcW w:w="11005" w:type="dxa"/>
                  <w:tcBorders>
                    <w:top w:val="nil"/>
                    <w:left w:val="single" w:sz="8" w:space="0" w:color="auto"/>
                    <w:bottom w:val="single" w:sz="4" w:space="0" w:color="auto"/>
                    <w:right w:val="single" w:sz="4" w:space="0" w:color="auto"/>
                  </w:tcBorders>
                  <w:shd w:val="clear" w:color="auto" w:fill="auto"/>
                  <w:vAlign w:val="bottom"/>
                  <w:hideMark/>
                </w:tcPr>
                <w:p w14:paraId="1702CA3B" w14:textId="42B1B130" w:rsidR="004B7F90" w:rsidRDefault="004B7F90" w:rsidP="004B7F90">
                  <w:pPr>
                    <w:rPr>
                      <w:rFonts w:ascii="Calibri" w:hAnsi="Calibri" w:cs="Calibri"/>
                      <w:color w:val="000000"/>
                    </w:rPr>
                  </w:pPr>
                  <w:proofErr w:type="gramStart"/>
                  <w:r>
                    <w:rPr>
                      <w:rFonts w:ascii="Calibri" w:hAnsi="Calibri" w:cs="Calibri"/>
                      <w:color w:val="000000"/>
                    </w:rPr>
                    <w:t>Is</w:t>
                  </w:r>
                  <w:proofErr w:type="gramEnd"/>
                  <w:r>
                    <w:rPr>
                      <w:rFonts w:ascii="Calibri" w:hAnsi="Calibri" w:cs="Calibri"/>
                      <w:color w:val="000000"/>
                    </w:rPr>
                    <w:t xml:space="preserve"> the office meeting expectations in the creation and maintenance of </w:t>
                  </w:r>
                  <w:r w:rsidR="00AC070B">
                    <w:rPr>
                      <w:rFonts w:ascii="Calibri" w:hAnsi="Calibri" w:cs="Calibri"/>
                      <w:color w:val="000000"/>
                    </w:rPr>
                    <w:t xml:space="preserve">clearance </w:t>
                  </w:r>
                  <w:r>
                    <w:rPr>
                      <w:rFonts w:ascii="Calibri" w:hAnsi="Calibri" w:cs="Calibri"/>
                      <w:color w:val="000000"/>
                    </w:rPr>
                    <w:t xml:space="preserve">job orders? </w:t>
                  </w:r>
                </w:p>
                <w:p w14:paraId="1D03A6AC" w14:textId="77777777" w:rsidR="004B7F90" w:rsidRDefault="004B7F90" w:rsidP="004B7F90">
                  <w:pPr>
                    <w:pStyle w:val="ListParagraph"/>
                    <w:numPr>
                      <w:ilvl w:val="0"/>
                      <w:numId w:val="36"/>
                    </w:numPr>
                    <w:rPr>
                      <w:rFonts w:ascii="Calibri" w:hAnsi="Calibri" w:cs="Calibri"/>
                      <w:color w:val="000000"/>
                    </w:rPr>
                  </w:pPr>
                  <w:r>
                    <w:rPr>
                      <w:rFonts w:ascii="Calibri" w:hAnsi="Calibri" w:cs="Calibri"/>
                      <w:color w:val="000000"/>
                    </w:rPr>
                    <w:t xml:space="preserve">Does the posting include the required statement? </w:t>
                  </w:r>
                </w:p>
                <w:p w14:paraId="0FF00F39" w14:textId="77777777" w:rsidR="004B7F90" w:rsidRDefault="004B7F90" w:rsidP="004B7F90">
                  <w:pPr>
                    <w:pStyle w:val="ListParagraph"/>
                    <w:numPr>
                      <w:ilvl w:val="0"/>
                      <w:numId w:val="36"/>
                    </w:numPr>
                    <w:rPr>
                      <w:rFonts w:ascii="Calibri" w:hAnsi="Calibri" w:cs="Calibri"/>
                      <w:color w:val="000000"/>
                    </w:rPr>
                  </w:pPr>
                  <w:r>
                    <w:rPr>
                      <w:rFonts w:ascii="Calibri" w:hAnsi="Calibri" w:cs="Calibri"/>
                      <w:color w:val="000000"/>
                    </w:rPr>
                    <w:t xml:space="preserve">Does the posting include categorizing the posting as Foreign Labor Certification? </w:t>
                  </w:r>
                </w:p>
                <w:p w14:paraId="7123245C" w14:textId="1F69CE9A" w:rsidR="004B7F90" w:rsidRPr="004B7F90" w:rsidRDefault="004B7F90" w:rsidP="004B7F90">
                  <w:pPr>
                    <w:pStyle w:val="ListParagraph"/>
                    <w:numPr>
                      <w:ilvl w:val="0"/>
                      <w:numId w:val="36"/>
                    </w:numPr>
                    <w:rPr>
                      <w:rFonts w:ascii="Calibri" w:hAnsi="Calibri" w:cs="Calibri"/>
                      <w:color w:val="000000"/>
                    </w:rPr>
                  </w:pPr>
                  <w:r>
                    <w:rPr>
                      <w:rFonts w:ascii="Calibri" w:hAnsi="Calibri" w:cs="Calibri"/>
                      <w:color w:val="000000"/>
                    </w:rPr>
                    <w:t xml:space="preserve">Does the posting include access to the Worker’s Trifold Side by Side, and Job Order? </w:t>
                  </w:r>
                </w:p>
              </w:tc>
            </w:tr>
            <w:tr w:rsidR="004B7F90" w:rsidRPr="00D3141D" w14:paraId="32438BE4" w14:textId="77777777" w:rsidTr="008C30C6">
              <w:trPr>
                <w:trHeight w:val="768"/>
              </w:trPr>
              <w:tc>
                <w:tcPr>
                  <w:tcW w:w="3479" w:type="dxa"/>
                  <w:tcBorders>
                    <w:top w:val="single" w:sz="8" w:space="0" w:color="auto"/>
                    <w:left w:val="single" w:sz="8" w:space="0" w:color="auto"/>
                    <w:bottom w:val="nil"/>
                    <w:right w:val="single" w:sz="4" w:space="0" w:color="auto"/>
                  </w:tcBorders>
                  <w:shd w:val="clear" w:color="auto" w:fill="E7E6E6" w:themeFill="background2"/>
                  <w:noWrap/>
                  <w:vAlign w:val="center"/>
                  <w:hideMark/>
                </w:tcPr>
                <w:p w14:paraId="0D0415C7" w14:textId="26C4E12C" w:rsidR="004B7F90" w:rsidRPr="00D3141D" w:rsidRDefault="004B7F90" w:rsidP="008C30C6">
                  <w:pPr>
                    <w:spacing w:after="0" w:line="240" w:lineRule="auto"/>
                    <w:jc w:val="center"/>
                    <w:rPr>
                      <w:rFonts w:asciiTheme="majorHAnsi" w:eastAsia="Times New Roman" w:hAnsiTheme="majorHAnsi" w:cstheme="majorHAnsi"/>
                      <w:b/>
                      <w:bCs/>
                      <w:color w:val="000000"/>
                      <w:sz w:val="24"/>
                      <w:szCs w:val="24"/>
                    </w:rPr>
                  </w:pPr>
                  <w:r w:rsidRPr="00C70840">
                    <w:rPr>
                      <w:rFonts w:asciiTheme="majorHAnsi" w:eastAsia="Times New Roman" w:hAnsiTheme="majorHAnsi" w:cstheme="majorHAnsi"/>
                      <w:b/>
                      <w:bCs/>
                      <w:color w:val="000000"/>
                      <w:sz w:val="24"/>
                      <w:szCs w:val="24"/>
                    </w:rPr>
                    <w:t>ELEMENT</w:t>
                  </w:r>
                </w:p>
              </w:tc>
              <w:tc>
                <w:tcPr>
                  <w:tcW w:w="11005" w:type="dxa"/>
                  <w:tcBorders>
                    <w:top w:val="single" w:sz="4" w:space="0" w:color="auto"/>
                    <w:left w:val="single" w:sz="4" w:space="0" w:color="auto"/>
                    <w:bottom w:val="single" w:sz="4" w:space="0" w:color="auto"/>
                    <w:right w:val="single" w:sz="8" w:space="0" w:color="auto"/>
                  </w:tcBorders>
                  <w:shd w:val="clear" w:color="auto" w:fill="E7E6E6" w:themeFill="background2"/>
                  <w:noWrap/>
                  <w:vAlign w:val="bottom"/>
                  <w:hideMark/>
                </w:tcPr>
                <w:p w14:paraId="70C43574" w14:textId="3288537B" w:rsidR="004B7F90" w:rsidRPr="00D3141D" w:rsidRDefault="004B7F90" w:rsidP="004B7F90">
                  <w:pPr>
                    <w:spacing w:after="0" w:line="240" w:lineRule="auto"/>
                    <w:rPr>
                      <w:rFonts w:asciiTheme="majorHAnsi" w:eastAsia="Times New Roman" w:hAnsiTheme="majorHAnsi" w:cstheme="majorHAnsi"/>
                      <w:b/>
                      <w:bCs/>
                      <w:color w:val="000000"/>
                      <w:sz w:val="24"/>
                      <w:szCs w:val="24"/>
                    </w:rPr>
                  </w:pPr>
                </w:p>
              </w:tc>
            </w:tr>
            <w:tr w:rsidR="004B7F90" w:rsidRPr="00D3141D" w14:paraId="50301F47" w14:textId="77777777" w:rsidTr="008C30C6">
              <w:trPr>
                <w:trHeight w:val="614"/>
              </w:trPr>
              <w:tc>
                <w:tcPr>
                  <w:tcW w:w="34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1E0CEE" w14:textId="77777777" w:rsidR="004B7F90" w:rsidRPr="00D3141D" w:rsidRDefault="004B7F90" w:rsidP="00316FF9">
                  <w:pPr>
                    <w:spacing w:after="0" w:line="240" w:lineRule="auto"/>
                    <w:jc w:val="center"/>
                    <w:rPr>
                      <w:rFonts w:eastAsia="Times New Roman" w:cstheme="minorHAnsi"/>
                      <w:color w:val="000000"/>
                    </w:rPr>
                  </w:pPr>
                </w:p>
              </w:tc>
              <w:tc>
                <w:tcPr>
                  <w:tcW w:w="11005" w:type="dxa"/>
                  <w:tcBorders>
                    <w:top w:val="single" w:sz="4" w:space="0" w:color="auto"/>
                    <w:left w:val="nil"/>
                    <w:bottom w:val="single" w:sz="4" w:space="0" w:color="auto"/>
                    <w:right w:val="single" w:sz="8" w:space="0" w:color="auto"/>
                  </w:tcBorders>
                  <w:shd w:val="clear" w:color="auto" w:fill="auto"/>
                  <w:noWrap/>
                  <w:vAlign w:val="bottom"/>
                  <w:hideMark/>
                </w:tcPr>
                <w:p w14:paraId="2D2FF347" w14:textId="77777777" w:rsidR="004B7F90" w:rsidRDefault="004B7F90" w:rsidP="004B7F90">
                  <w:pPr>
                    <w:jc w:val="both"/>
                    <w:rPr>
                      <w:rFonts w:ascii="Calibri" w:hAnsi="Calibri" w:cs="Calibri"/>
                      <w:color w:val="000000"/>
                    </w:rPr>
                  </w:pPr>
                  <w:r>
                    <w:rPr>
                      <w:rFonts w:ascii="Calibri" w:hAnsi="Calibri" w:cs="Calibri"/>
                      <w:color w:val="000000"/>
                    </w:rPr>
                    <w:t xml:space="preserve">Is the office documenting the required follow-up with customers that submit applications? </w:t>
                  </w:r>
                </w:p>
                <w:p w14:paraId="3F92AC9F" w14:textId="26CD5827" w:rsidR="004B7F90" w:rsidRDefault="004B7F90" w:rsidP="004B7F90">
                  <w:pPr>
                    <w:pStyle w:val="ListParagraph"/>
                    <w:numPr>
                      <w:ilvl w:val="0"/>
                      <w:numId w:val="37"/>
                    </w:numPr>
                    <w:jc w:val="both"/>
                    <w:rPr>
                      <w:rFonts w:ascii="Calibri" w:hAnsi="Calibri" w:cs="Calibri"/>
                      <w:color w:val="000000"/>
                    </w:rPr>
                  </w:pPr>
                  <w:r>
                    <w:rPr>
                      <w:rFonts w:ascii="Calibri" w:hAnsi="Calibri" w:cs="Calibri"/>
                      <w:color w:val="000000"/>
                    </w:rPr>
                    <w:t>Evidence of Hiring Status Update in Recruiter Account</w:t>
                  </w:r>
                </w:p>
                <w:p w14:paraId="3EE2F0A2" w14:textId="72D5412C" w:rsidR="004B7F90" w:rsidRPr="000D1A1A" w:rsidRDefault="004B7F90" w:rsidP="004B7F90">
                  <w:pPr>
                    <w:pStyle w:val="ListParagraph"/>
                    <w:numPr>
                      <w:ilvl w:val="0"/>
                      <w:numId w:val="37"/>
                    </w:numPr>
                    <w:jc w:val="both"/>
                    <w:rPr>
                      <w:rFonts w:ascii="Calibri" w:hAnsi="Calibri" w:cs="Calibri"/>
                      <w:color w:val="000000"/>
                    </w:rPr>
                  </w:pPr>
                  <w:r>
                    <w:rPr>
                      <w:rFonts w:ascii="Calibri" w:hAnsi="Calibri" w:cs="Calibri"/>
                      <w:color w:val="000000"/>
                    </w:rPr>
                    <w:t>Touchpoint and/case notes in ETO if referred</w:t>
                  </w:r>
                </w:p>
                <w:p w14:paraId="08917B34" w14:textId="17AAB58D" w:rsidR="004B7F90" w:rsidRPr="00B47353" w:rsidRDefault="004B7F90" w:rsidP="004B7F90">
                  <w:pPr>
                    <w:jc w:val="both"/>
                    <w:rPr>
                      <w:rFonts w:ascii="Calibri" w:hAnsi="Calibri" w:cs="Calibri"/>
                      <w:color w:val="000000"/>
                    </w:rPr>
                  </w:pPr>
                </w:p>
              </w:tc>
            </w:tr>
          </w:tbl>
          <w:p w14:paraId="46E5B536" w14:textId="6513630B" w:rsidR="004B7F90" w:rsidRPr="00213D49" w:rsidRDefault="004B7F90" w:rsidP="003B05B1">
            <w:pPr>
              <w:rPr>
                <w:rFonts w:cstheme="minorHAnsi"/>
                <w:b/>
              </w:rPr>
            </w:pPr>
          </w:p>
        </w:tc>
      </w:tr>
    </w:tbl>
    <w:p w14:paraId="2658C1AE" w14:textId="77777777" w:rsidR="00A25A92" w:rsidRDefault="00A25A92"/>
    <w:sectPr w:rsidR="00A25A92" w:rsidSect="00F66F5C">
      <w:headerReference w:type="even" r:id="rId124"/>
      <w:headerReference w:type="default" r:id="rId125"/>
      <w:footerReference w:type="even" r:id="rId126"/>
      <w:footerReference w:type="default" r:id="rId127"/>
      <w:headerReference w:type="first" r:id="rId128"/>
      <w:footerReference w:type="first" r:id="rId129"/>
      <w:pgSz w:w="15840" w:h="12240" w:orient="landscape"/>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1A91" w14:textId="77777777" w:rsidR="00837189" w:rsidRDefault="00837189">
      <w:pPr>
        <w:spacing w:after="0" w:line="240" w:lineRule="auto"/>
      </w:pPr>
      <w:r>
        <w:separator/>
      </w:r>
    </w:p>
  </w:endnote>
  <w:endnote w:type="continuationSeparator" w:id="0">
    <w:p w14:paraId="1C226E6D" w14:textId="77777777" w:rsidR="00837189" w:rsidRDefault="0083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DBFA" w14:textId="77777777" w:rsidR="00AC070B" w:rsidRDefault="00AC0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133D" w14:textId="2AA34C70" w:rsidR="00837189" w:rsidRDefault="00837189" w:rsidP="001C569C">
    <w:pPr>
      <w:pStyle w:val="Footer"/>
      <w:jc w:val="both"/>
      <w:rPr>
        <w:b/>
        <w:bCs/>
        <w:sz w:val="14"/>
        <w:szCs w:val="14"/>
      </w:rPr>
    </w:pPr>
    <w:r>
      <w:rPr>
        <w:sz w:val="14"/>
        <w:szCs w:val="14"/>
      </w:rPr>
      <w:t xml:space="preserve">ESD </w:t>
    </w:r>
    <w:r w:rsidR="00C750DB">
      <w:rPr>
        <w:sz w:val="14"/>
        <w:szCs w:val="14"/>
      </w:rPr>
      <w:t>PY</w:t>
    </w:r>
    <w:r>
      <w:rPr>
        <w:sz w:val="14"/>
        <w:szCs w:val="14"/>
      </w:rPr>
      <w:t>202</w:t>
    </w:r>
    <w:r w:rsidR="00E92411">
      <w:rPr>
        <w:sz w:val="14"/>
        <w:szCs w:val="14"/>
      </w:rPr>
      <w:t>3</w:t>
    </w:r>
    <w:r>
      <w:rPr>
        <w:sz w:val="14"/>
        <w:szCs w:val="14"/>
      </w:rPr>
      <w:t xml:space="preserve"> WAGNER-PEYSER Program Monitoring</w:t>
    </w:r>
    <w:r>
      <w:rPr>
        <w:sz w:val="14"/>
        <w:szCs w:val="14"/>
      </w:rPr>
      <w:tab/>
    </w:r>
    <w:r w:rsidR="001C569C">
      <w:rPr>
        <w:sz w:val="14"/>
        <w:szCs w:val="14"/>
      </w:rPr>
      <w:tab/>
    </w:r>
    <w:r>
      <w:rPr>
        <w:sz w:val="14"/>
        <w:szCs w:val="14"/>
      </w:rPr>
      <w:t xml:space="preserve">Page </w:t>
    </w:r>
    <w:r>
      <w:rPr>
        <w:b/>
        <w:bCs/>
        <w:sz w:val="14"/>
        <w:szCs w:val="14"/>
      </w:rPr>
      <w:fldChar w:fldCharType="begin"/>
    </w:r>
    <w:r>
      <w:rPr>
        <w:b/>
        <w:bCs/>
        <w:sz w:val="14"/>
        <w:szCs w:val="14"/>
      </w:rPr>
      <w:instrText xml:space="preserve"> PAGE  \* Arabic  \* MERGEFORMAT </w:instrText>
    </w:r>
    <w:r>
      <w:rPr>
        <w:b/>
        <w:bCs/>
        <w:sz w:val="14"/>
        <w:szCs w:val="14"/>
      </w:rPr>
      <w:fldChar w:fldCharType="separate"/>
    </w:r>
    <w:r>
      <w:rPr>
        <w:b/>
        <w:bCs/>
        <w:noProof/>
        <w:sz w:val="14"/>
        <w:szCs w:val="14"/>
      </w:rPr>
      <w:t>1</w:t>
    </w:r>
    <w:r>
      <w:rPr>
        <w:b/>
        <w:bCs/>
        <w:sz w:val="14"/>
        <w:szCs w:val="14"/>
      </w:rPr>
      <w:fldChar w:fldCharType="end"/>
    </w:r>
    <w:r>
      <w:rPr>
        <w:sz w:val="14"/>
        <w:szCs w:val="14"/>
      </w:rPr>
      <w:t xml:space="preserve"> of </w:t>
    </w:r>
    <w:r>
      <w:rPr>
        <w:b/>
        <w:bCs/>
        <w:sz w:val="14"/>
        <w:szCs w:val="14"/>
      </w:rPr>
      <w:fldChar w:fldCharType="begin"/>
    </w:r>
    <w:r>
      <w:rPr>
        <w:b/>
        <w:bCs/>
        <w:sz w:val="14"/>
        <w:szCs w:val="14"/>
      </w:rPr>
      <w:instrText xml:space="preserve"> NUMPAGES  \* Arabic  \* MERGEFORMAT </w:instrText>
    </w:r>
    <w:r>
      <w:rPr>
        <w:b/>
        <w:bCs/>
        <w:sz w:val="14"/>
        <w:szCs w:val="14"/>
      </w:rPr>
      <w:fldChar w:fldCharType="separate"/>
    </w:r>
    <w:r>
      <w:rPr>
        <w:b/>
        <w:bCs/>
        <w:noProof/>
        <w:sz w:val="14"/>
        <w:szCs w:val="14"/>
      </w:rPr>
      <w:t>7</w:t>
    </w:r>
    <w:r>
      <w:rPr>
        <w:b/>
        <w:bCs/>
        <w:sz w:val="14"/>
        <w:szCs w:val="14"/>
      </w:rPr>
      <w:fldChar w:fldCharType="end"/>
    </w:r>
  </w:p>
  <w:p w14:paraId="7D91ECB7" w14:textId="77777777" w:rsidR="00837189" w:rsidRDefault="00837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F39E" w14:textId="77777777" w:rsidR="00AC070B" w:rsidRDefault="00AC0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0170" w14:textId="77777777" w:rsidR="00837189" w:rsidRDefault="00837189">
      <w:pPr>
        <w:spacing w:after="0" w:line="240" w:lineRule="auto"/>
      </w:pPr>
      <w:r>
        <w:separator/>
      </w:r>
    </w:p>
  </w:footnote>
  <w:footnote w:type="continuationSeparator" w:id="0">
    <w:p w14:paraId="59F6E9C4" w14:textId="77777777" w:rsidR="00837189" w:rsidRDefault="0083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0E1D" w14:textId="77777777" w:rsidR="00AC070B" w:rsidRDefault="00AC0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25"/>
      <w:gridCol w:w="11790"/>
    </w:tblGrid>
    <w:tr w:rsidR="00837189" w14:paraId="7722EB28" w14:textId="77777777" w:rsidTr="00F66F5C">
      <w:tc>
        <w:tcPr>
          <w:tcW w:w="15015" w:type="dxa"/>
          <w:gridSpan w:val="2"/>
          <w:tcBorders>
            <w:top w:val="single" w:sz="12" w:space="0" w:color="auto"/>
            <w:bottom w:val="single" w:sz="12" w:space="0" w:color="auto"/>
          </w:tcBorders>
          <w:shd w:val="clear" w:color="auto" w:fill="ACB9CA" w:themeFill="text2" w:themeFillTint="66"/>
        </w:tcPr>
        <w:p w14:paraId="0862EE1D" w14:textId="53E4C9CA" w:rsidR="00837189" w:rsidRDefault="00837189" w:rsidP="006E404C">
          <w:pPr>
            <w:spacing w:after="0" w:line="240" w:lineRule="auto"/>
            <w:jc w:val="center"/>
            <w:rPr>
              <w:rFonts w:ascii="Arial Black" w:hAnsi="Arial Black"/>
              <w:caps/>
              <w:color w:val="000000" w:themeColor="text1"/>
              <w:sz w:val="28"/>
              <w:szCs w:val="28"/>
            </w:rPr>
          </w:pPr>
          <w:r w:rsidRPr="006E3139">
            <w:rPr>
              <w:noProof/>
              <w:color w:val="000000" w:themeColor="text1"/>
            </w:rPr>
            <w:drawing>
              <wp:inline distT="0" distB="0" distL="0" distR="0" wp14:anchorId="2847CC65" wp14:editId="6578FEC1">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p>
        <w:p w14:paraId="2B9B1289" w14:textId="33735F31" w:rsidR="00837189" w:rsidRPr="006E3139" w:rsidRDefault="00837189" w:rsidP="002E3A32">
          <w:pPr>
            <w:spacing w:after="0" w:line="240" w:lineRule="auto"/>
            <w:jc w:val="center"/>
            <w:rPr>
              <w:rFonts w:asciiTheme="majorHAnsi" w:hAnsiTheme="majorHAnsi"/>
              <w:b/>
              <w:color w:val="000000" w:themeColor="text1"/>
              <w:sz w:val="26"/>
              <w:szCs w:val="26"/>
            </w:rPr>
          </w:pPr>
          <w:r w:rsidRPr="00851DFB">
            <w:rPr>
              <w:rFonts w:ascii="Arial Black" w:hAnsi="Arial Black"/>
              <w:caps/>
              <w:color w:val="FFFFFF" w:themeColor="background1"/>
              <w:sz w:val="24"/>
              <w:szCs w:val="24"/>
            </w:rPr>
            <w:t>202</w:t>
          </w:r>
          <w:r w:rsidR="001F6C69">
            <w:rPr>
              <w:rFonts w:ascii="Arial Black" w:hAnsi="Arial Black"/>
              <w:caps/>
              <w:color w:val="FFFFFF" w:themeColor="background1"/>
              <w:sz w:val="24"/>
              <w:szCs w:val="24"/>
            </w:rPr>
            <w:t>3</w:t>
          </w:r>
          <w:r w:rsidRPr="00851DFB">
            <w:rPr>
              <w:rFonts w:ascii="Arial Black" w:hAnsi="Arial Black"/>
              <w:caps/>
              <w:color w:val="FFFFFF" w:themeColor="background1"/>
              <w:sz w:val="24"/>
              <w:szCs w:val="24"/>
            </w:rPr>
            <w:t xml:space="preserve"> </w:t>
          </w:r>
          <w:r>
            <w:rPr>
              <w:rFonts w:ascii="Arial Black" w:hAnsi="Arial Black"/>
              <w:caps/>
              <w:color w:val="FFFFFF" w:themeColor="background1"/>
              <w:sz w:val="24"/>
              <w:szCs w:val="24"/>
            </w:rPr>
            <w:t xml:space="preserve">wagner-peyser </w:t>
          </w:r>
          <w:r w:rsidR="00BA7ED9">
            <w:rPr>
              <w:rFonts w:ascii="Arial Black" w:hAnsi="Arial Black"/>
              <w:caps/>
              <w:color w:val="FFFFFF" w:themeColor="background1"/>
              <w:sz w:val="24"/>
              <w:szCs w:val="24"/>
            </w:rPr>
            <w:t xml:space="preserve">Comprehensive </w:t>
          </w:r>
          <w:r>
            <w:rPr>
              <w:rFonts w:ascii="Arial Black" w:hAnsi="Arial Black"/>
              <w:caps/>
              <w:color w:val="FFFFFF" w:themeColor="background1"/>
              <w:sz w:val="24"/>
              <w:szCs w:val="24"/>
            </w:rPr>
            <w:t xml:space="preserve">monitoring elements </w:t>
          </w:r>
          <w:r w:rsidR="00BA7ED9">
            <w:rPr>
              <w:rFonts w:ascii="Arial Black" w:hAnsi="Arial Black"/>
              <w:caps/>
              <w:color w:val="FFFFFF" w:themeColor="background1"/>
              <w:sz w:val="24"/>
              <w:szCs w:val="24"/>
            </w:rPr>
            <w:t>Guide</w:t>
          </w:r>
          <w:r>
            <w:rPr>
              <w:rFonts w:ascii="Arial Black" w:hAnsi="Arial Black"/>
              <w:caps/>
              <w:color w:val="FFFFFF" w:themeColor="background1"/>
              <w:sz w:val="24"/>
              <w:szCs w:val="24"/>
            </w:rPr>
            <w:t xml:space="preserve"> v</w:t>
          </w:r>
          <w:r w:rsidR="001F6C69">
            <w:rPr>
              <w:rFonts w:ascii="Arial Black" w:hAnsi="Arial Black"/>
              <w:caps/>
              <w:color w:val="FFFFFF" w:themeColor="background1"/>
              <w:sz w:val="24"/>
              <w:szCs w:val="24"/>
            </w:rPr>
            <w:t>5</w:t>
          </w:r>
          <w:r>
            <w:rPr>
              <w:rFonts w:ascii="Arial Black" w:hAnsi="Arial Black"/>
              <w:caps/>
              <w:color w:val="FFFFFF" w:themeColor="background1"/>
              <w:sz w:val="24"/>
              <w:szCs w:val="24"/>
            </w:rPr>
            <w:t xml:space="preserve"> </w:t>
          </w:r>
        </w:p>
      </w:tc>
    </w:tr>
    <w:tr w:rsidR="00576CB4" w:rsidRPr="00FE5F6A" w14:paraId="6D5FA1C5" w14:textId="77777777" w:rsidTr="00E67C61">
      <w:trPr>
        <w:trHeight w:val="563"/>
      </w:trPr>
      <w:tc>
        <w:tcPr>
          <w:tcW w:w="3225" w:type="dxa"/>
          <w:tcBorders>
            <w:top w:val="single" w:sz="12" w:space="0" w:color="auto"/>
            <w:bottom w:val="single" w:sz="12" w:space="0" w:color="auto"/>
            <w:right w:val="single" w:sz="12" w:space="0" w:color="auto"/>
          </w:tcBorders>
          <w:shd w:val="clear" w:color="auto" w:fill="E2EFD9" w:themeFill="accent6" w:themeFillTint="33"/>
        </w:tcPr>
        <w:p w14:paraId="2ACC9439" w14:textId="118A46E6" w:rsidR="00576CB4" w:rsidRDefault="00576CB4" w:rsidP="00A25A9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Program Year</w:t>
          </w:r>
        </w:p>
        <w:p w14:paraId="033A498F" w14:textId="443622A7" w:rsidR="00576CB4" w:rsidRPr="00FE5F6A" w:rsidRDefault="00576CB4" w:rsidP="00A25A9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202</w:t>
          </w:r>
          <w:r w:rsidR="003D4E89">
            <w:rPr>
              <w:rFonts w:asciiTheme="majorHAnsi" w:hAnsiTheme="majorHAnsi"/>
              <w:b/>
              <w:sz w:val="16"/>
              <w:szCs w:val="16"/>
            </w:rPr>
            <w:t>3</w:t>
          </w:r>
        </w:p>
      </w:tc>
      <w:tc>
        <w:tcPr>
          <w:tcW w:w="11790" w:type="dxa"/>
          <w:tcBorders>
            <w:top w:val="single" w:sz="12" w:space="0" w:color="auto"/>
            <w:left w:val="single" w:sz="12" w:space="0" w:color="auto"/>
            <w:bottom w:val="single" w:sz="12" w:space="0" w:color="auto"/>
          </w:tcBorders>
          <w:shd w:val="clear" w:color="auto" w:fill="E2EFD9" w:themeFill="accent6" w:themeFillTint="33"/>
        </w:tcPr>
        <w:p w14:paraId="432B40BE" w14:textId="66BF91D1" w:rsidR="001F6C69" w:rsidRPr="001F6C69" w:rsidRDefault="001F6C69" w:rsidP="00A25A92">
          <w:pPr>
            <w:spacing w:after="0" w:line="240" w:lineRule="auto"/>
            <w:rPr>
              <w:rFonts w:asciiTheme="majorHAnsi" w:hAnsiTheme="majorHAnsi"/>
              <w:b/>
              <w:sz w:val="16"/>
              <w:szCs w:val="16"/>
            </w:rPr>
          </w:pPr>
          <w:r>
            <w:rPr>
              <w:rFonts w:asciiTheme="majorHAnsi" w:hAnsiTheme="majorHAnsi"/>
              <w:b/>
              <w:sz w:val="16"/>
              <w:szCs w:val="16"/>
            </w:rPr>
            <w:t>Date of Update</w:t>
          </w:r>
          <w:r w:rsidR="00E92411">
            <w:rPr>
              <w:rFonts w:asciiTheme="majorHAnsi" w:hAnsiTheme="majorHAnsi"/>
              <w:b/>
              <w:sz w:val="16"/>
              <w:szCs w:val="16"/>
            </w:rPr>
            <w:t>d</w:t>
          </w:r>
          <w:r>
            <w:rPr>
              <w:rFonts w:asciiTheme="majorHAnsi" w:hAnsiTheme="majorHAnsi"/>
              <w:b/>
              <w:sz w:val="16"/>
              <w:szCs w:val="16"/>
            </w:rPr>
            <w:t xml:space="preserve"> Citation Review </w:t>
          </w:r>
          <w:r w:rsidR="00B652DF">
            <w:rPr>
              <w:rFonts w:asciiTheme="majorHAnsi" w:hAnsiTheme="majorHAnsi"/>
              <w:b/>
              <w:sz w:val="16"/>
              <w:szCs w:val="16"/>
            </w:rPr>
            <w:t>11-</w:t>
          </w:r>
          <w:r w:rsidR="00AC070B">
            <w:rPr>
              <w:rFonts w:asciiTheme="majorHAnsi" w:hAnsiTheme="majorHAnsi"/>
              <w:b/>
              <w:sz w:val="16"/>
              <w:szCs w:val="16"/>
            </w:rPr>
            <w:t>22</w:t>
          </w:r>
          <w:r w:rsidR="00316FF9">
            <w:rPr>
              <w:rFonts w:asciiTheme="majorHAnsi" w:hAnsiTheme="majorHAnsi"/>
              <w:b/>
              <w:sz w:val="16"/>
              <w:szCs w:val="16"/>
            </w:rPr>
            <w:t>-</w:t>
          </w:r>
          <w:r>
            <w:rPr>
              <w:rFonts w:asciiTheme="majorHAnsi" w:hAnsiTheme="majorHAnsi"/>
              <w:b/>
              <w:sz w:val="16"/>
              <w:szCs w:val="16"/>
            </w:rPr>
            <w:t>2023        Conducted by Jamie Murphy</w:t>
          </w:r>
        </w:p>
      </w:tc>
    </w:tr>
  </w:tbl>
  <w:p w14:paraId="1E0F2616" w14:textId="77777777" w:rsidR="00837189" w:rsidRPr="00332751" w:rsidRDefault="00837189" w:rsidP="00A25A92">
    <w:pPr>
      <w:pStyle w:val="Header"/>
      <w:tabs>
        <w:tab w:val="clear" w:pos="9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434" w14:textId="77777777" w:rsidR="00AC070B" w:rsidRDefault="00AC0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75C"/>
    <w:multiLevelType w:val="hybridMultilevel"/>
    <w:tmpl w:val="40E85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1015"/>
    <w:multiLevelType w:val="hybridMultilevel"/>
    <w:tmpl w:val="3156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0F30"/>
    <w:multiLevelType w:val="hybridMultilevel"/>
    <w:tmpl w:val="733E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4688E"/>
    <w:multiLevelType w:val="hybridMultilevel"/>
    <w:tmpl w:val="9E8E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448F4"/>
    <w:multiLevelType w:val="hybridMultilevel"/>
    <w:tmpl w:val="1CD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15BCA"/>
    <w:multiLevelType w:val="hybridMultilevel"/>
    <w:tmpl w:val="FC783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37990"/>
    <w:multiLevelType w:val="hybridMultilevel"/>
    <w:tmpl w:val="C0BEF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50825"/>
    <w:multiLevelType w:val="hybridMultilevel"/>
    <w:tmpl w:val="6E5E835A"/>
    <w:lvl w:ilvl="0" w:tplc="2E524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03163"/>
    <w:multiLevelType w:val="hybridMultilevel"/>
    <w:tmpl w:val="5434CD14"/>
    <w:lvl w:ilvl="0" w:tplc="2B4A346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0D9A"/>
    <w:multiLevelType w:val="hybridMultilevel"/>
    <w:tmpl w:val="6B029C06"/>
    <w:lvl w:ilvl="0" w:tplc="693A57EC">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B7D59"/>
    <w:multiLevelType w:val="hybridMultilevel"/>
    <w:tmpl w:val="0602C142"/>
    <w:lvl w:ilvl="0" w:tplc="69CAFE6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51778"/>
    <w:multiLevelType w:val="hybridMultilevel"/>
    <w:tmpl w:val="2C4A7090"/>
    <w:lvl w:ilvl="0" w:tplc="5310FD6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E5AE4"/>
    <w:multiLevelType w:val="hybridMultilevel"/>
    <w:tmpl w:val="46801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94F7F"/>
    <w:multiLevelType w:val="hybridMultilevel"/>
    <w:tmpl w:val="06D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0F7459"/>
    <w:multiLevelType w:val="hybridMultilevel"/>
    <w:tmpl w:val="8DEAE4C6"/>
    <w:lvl w:ilvl="0" w:tplc="673E56F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264E7"/>
    <w:multiLevelType w:val="hybridMultilevel"/>
    <w:tmpl w:val="619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44329"/>
    <w:multiLevelType w:val="hybridMultilevel"/>
    <w:tmpl w:val="47947FEA"/>
    <w:lvl w:ilvl="0" w:tplc="A03EE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8573A"/>
    <w:multiLevelType w:val="multilevel"/>
    <w:tmpl w:val="E2A8C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D814F5"/>
    <w:multiLevelType w:val="hybridMultilevel"/>
    <w:tmpl w:val="D3EA405C"/>
    <w:lvl w:ilvl="0" w:tplc="8D44D3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A2E29"/>
    <w:multiLevelType w:val="hybridMultilevel"/>
    <w:tmpl w:val="08481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30307"/>
    <w:multiLevelType w:val="hybridMultilevel"/>
    <w:tmpl w:val="D8BC2964"/>
    <w:lvl w:ilvl="0" w:tplc="627E1B4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53068"/>
    <w:multiLevelType w:val="hybridMultilevel"/>
    <w:tmpl w:val="BCFCB970"/>
    <w:lvl w:ilvl="0" w:tplc="7E227EF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16446"/>
    <w:multiLevelType w:val="hybridMultilevel"/>
    <w:tmpl w:val="186A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D1FB1"/>
    <w:multiLevelType w:val="hybridMultilevel"/>
    <w:tmpl w:val="036EE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F6857"/>
    <w:multiLevelType w:val="hybridMultilevel"/>
    <w:tmpl w:val="3DA4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40688"/>
    <w:multiLevelType w:val="hybridMultilevel"/>
    <w:tmpl w:val="9B6A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C17B5"/>
    <w:multiLevelType w:val="hybridMultilevel"/>
    <w:tmpl w:val="74A8B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D56AD"/>
    <w:multiLevelType w:val="hybridMultilevel"/>
    <w:tmpl w:val="503A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57A1F"/>
    <w:multiLevelType w:val="hybridMultilevel"/>
    <w:tmpl w:val="74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A77BF"/>
    <w:multiLevelType w:val="hybridMultilevel"/>
    <w:tmpl w:val="3C92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4F3FF7"/>
    <w:multiLevelType w:val="hybridMultilevel"/>
    <w:tmpl w:val="60FE69E0"/>
    <w:lvl w:ilvl="0" w:tplc="04090001">
      <w:start w:val="1"/>
      <w:numFmt w:val="bullet"/>
      <w:lvlText w:val=""/>
      <w:lvlJc w:val="left"/>
      <w:pPr>
        <w:ind w:left="1080" w:hanging="360"/>
      </w:pPr>
      <w:rPr>
        <w:rFonts w:ascii="Symbol" w:hAnsi="Symbol" w:hint="default"/>
      </w:rPr>
    </w:lvl>
    <w:lvl w:ilvl="1" w:tplc="3D7C4F8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15B2C"/>
    <w:multiLevelType w:val="hybridMultilevel"/>
    <w:tmpl w:val="549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81119"/>
    <w:multiLevelType w:val="hybridMultilevel"/>
    <w:tmpl w:val="22BC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12D1F"/>
    <w:multiLevelType w:val="hybridMultilevel"/>
    <w:tmpl w:val="85F6B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6351A9"/>
    <w:multiLevelType w:val="hybridMultilevel"/>
    <w:tmpl w:val="29DA0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50CD3"/>
    <w:multiLevelType w:val="hybridMultilevel"/>
    <w:tmpl w:val="A69AF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94A4F"/>
    <w:multiLevelType w:val="hybridMultilevel"/>
    <w:tmpl w:val="063A4308"/>
    <w:lvl w:ilvl="0" w:tplc="1E9E0BC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B12F4"/>
    <w:multiLevelType w:val="hybridMultilevel"/>
    <w:tmpl w:val="D34CA246"/>
    <w:lvl w:ilvl="0" w:tplc="5326733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F30F9"/>
    <w:multiLevelType w:val="hybridMultilevel"/>
    <w:tmpl w:val="40A6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41D33"/>
    <w:multiLevelType w:val="hybridMultilevel"/>
    <w:tmpl w:val="356E189A"/>
    <w:lvl w:ilvl="0" w:tplc="8DCC319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878856">
    <w:abstractNumId w:val="14"/>
  </w:num>
  <w:num w:numId="2" w16cid:durableId="404882599">
    <w:abstractNumId w:val="20"/>
  </w:num>
  <w:num w:numId="3" w16cid:durableId="138962743">
    <w:abstractNumId w:val="9"/>
  </w:num>
  <w:num w:numId="4" w16cid:durableId="427308704">
    <w:abstractNumId w:val="21"/>
  </w:num>
  <w:num w:numId="5" w16cid:durableId="1405951650">
    <w:abstractNumId w:val="8"/>
  </w:num>
  <w:num w:numId="6" w16cid:durableId="133564930">
    <w:abstractNumId w:val="11"/>
  </w:num>
  <w:num w:numId="7" w16cid:durableId="260526073">
    <w:abstractNumId w:val="36"/>
  </w:num>
  <w:num w:numId="8" w16cid:durableId="589119546">
    <w:abstractNumId w:val="37"/>
  </w:num>
  <w:num w:numId="9" w16cid:durableId="2045863621">
    <w:abstractNumId w:val="39"/>
  </w:num>
  <w:num w:numId="10" w16cid:durableId="28647138">
    <w:abstractNumId w:val="10"/>
  </w:num>
  <w:num w:numId="11" w16cid:durableId="547257391">
    <w:abstractNumId w:val="28"/>
  </w:num>
  <w:num w:numId="12" w16cid:durableId="193663824">
    <w:abstractNumId w:val="38"/>
  </w:num>
  <w:num w:numId="13" w16cid:durableId="1209223384">
    <w:abstractNumId w:val="2"/>
  </w:num>
  <w:num w:numId="14" w16cid:durableId="2061829730">
    <w:abstractNumId w:val="23"/>
  </w:num>
  <w:num w:numId="15" w16cid:durableId="1678381958">
    <w:abstractNumId w:val="16"/>
  </w:num>
  <w:num w:numId="16" w16cid:durableId="1178695099">
    <w:abstractNumId w:val="18"/>
  </w:num>
  <w:num w:numId="17" w16cid:durableId="1174881626">
    <w:abstractNumId w:val="24"/>
  </w:num>
  <w:num w:numId="18" w16cid:durableId="643968213">
    <w:abstractNumId w:val="22"/>
  </w:num>
  <w:num w:numId="19" w16cid:durableId="777676805">
    <w:abstractNumId w:val="17"/>
  </w:num>
  <w:num w:numId="20" w16cid:durableId="1461726464">
    <w:abstractNumId w:val="4"/>
  </w:num>
  <w:num w:numId="21" w16cid:durableId="41953735">
    <w:abstractNumId w:val="30"/>
  </w:num>
  <w:num w:numId="22" w16cid:durableId="1629436887">
    <w:abstractNumId w:val="26"/>
  </w:num>
  <w:num w:numId="23" w16cid:durableId="15036424">
    <w:abstractNumId w:val="13"/>
  </w:num>
  <w:num w:numId="24" w16cid:durableId="2077318793">
    <w:abstractNumId w:val="3"/>
  </w:num>
  <w:num w:numId="25" w16cid:durableId="2122802146">
    <w:abstractNumId w:val="25"/>
  </w:num>
  <w:num w:numId="26" w16cid:durableId="63186858">
    <w:abstractNumId w:val="35"/>
  </w:num>
  <w:num w:numId="27" w16cid:durableId="83065926">
    <w:abstractNumId w:val="32"/>
  </w:num>
  <w:num w:numId="28" w16cid:durableId="1597982519">
    <w:abstractNumId w:val="31"/>
  </w:num>
  <w:num w:numId="29" w16cid:durableId="1442727689">
    <w:abstractNumId w:val="1"/>
  </w:num>
  <w:num w:numId="30" w16cid:durableId="1065105562">
    <w:abstractNumId w:val="5"/>
  </w:num>
  <w:num w:numId="31" w16cid:durableId="1670478599">
    <w:abstractNumId w:val="6"/>
  </w:num>
  <w:num w:numId="32" w16cid:durableId="1520663209">
    <w:abstractNumId w:val="29"/>
  </w:num>
  <w:num w:numId="33" w16cid:durableId="172040264">
    <w:abstractNumId w:val="15"/>
  </w:num>
  <w:num w:numId="34" w16cid:durableId="1736392725">
    <w:abstractNumId w:val="34"/>
  </w:num>
  <w:num w:numId="35" w16cid:durableId="1728796087">
    <w:abstractNumId w:val="12"/>
  </w:num>
  <w:num w:numId="36" w16cid:durableId="1994140217">
    <w:abstractNumId w:val="19"/>
  </w:num>
  <w:num w:numId="37" w16cid:durableId="1927104750">
    <w:abstractNumId w:val="0"/>
  </w:num>
  <w:num w:numId="38" w16cid:durableId="821847355">
    <w:abstractNumId w:val="33"/>
  </w:num>
  <w:num w:numId="39" w16cid:durableId="412049635">
    <w:abstractNumId w:val="27"/>
  </w:num>
  <w:num w:numId="40" w16cid:durableId="574047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3C"/>
    <w:rsid w:val="00000BB5"/>
    <w:rsid w:val="00003114"/>
    <w:rsid w:val="00024461"/>
    <w:rsid w:val="00026057"/>
    <w:rsid w:val="00027C7F"/>
    <w:rsid w:val="00033E0D"/>
    <w:rsid w:val="00033EE6"/>
    <w:rsid w:val="00035806"/>
    <w:rsid w:val="00037294"/>
    <w:rsid w:val="00037327"/>
    <w:rsid w:val="00041B53"/>
    <w:rsid w:val="00041C61"/>
    <w:rsid w:val="000426C2"/>
    <w:rsid w:val="0004433C"/>
    <w:rsid w:val="00044B52"/>
    <w:rsid w:val="000451E9"/>
    <w:rsid w:val="00046A80"/>
    <w:rsid w:val="00046B61"/>
    <w:rsid w:val="000516CE"/>
    <w:rsid w:val="0005254F"/>
    <w:rsid w:val="00052780"/>
    <w:rsid w:val="00053DC3"/>
    <w:rsid w:val="00055FFD"/>
    <w:rsid w:val="00060351"/>
    <w:rsid w:val="00060518"/>
    <w:rsid w:val="00061A40"/>
    <w:rsid w:val="000623FD"/>
    <w:rsid w:val="00063499"/>
    <w:rsid w:val="00065E8A"/>
    <w:rsid w:val="00067919"/>
    <w:rsid w:val="00072F7F"/>
    <w:rsid w:val="00073CC6"/>
    <w:rsid w:val="0008164C"/>
    <w:rsid w:val="00082E69"/>
    <w:rsid w:val="000834A0"/>
    <w:rsid w:val="00086845"/>
    <w:rsid w:val="0008746B"/>
    <w:rsid w:val="00087F1D"/>
    <w:rsid w:val="000936AF"/>
    <w:rsid w:val="000973D4"/>
    <w:rsid w:val="000A5F68"/>
    <w:rsid w:val="000A72C7"/>
    <w:rsid w:val="000A769E"/>
    <w:rsid w:val="000B017A"/>
    <w:rsid w:val="000B0BE8"/>
    <w:rsid w:val="000B2AEB"/>
    <w:rsid w:val="000B50F1"/>
    <w:rsid w:val="000C0BBD"/>
    <w:rsid w:val="000C3272"/>
    <w:rsid w:val="000C7896"/>
    <w:rsid w:val="000D0AD5"/>
    <w:rsid w:val="000D1A1A"/>
    <w:rsid w:val="000D3384"/>
    <w:rsid w:val="000D4E32"/>
    <w:rsid w:val="000D6F33"/>
    <w:rsid w:val="000D7C49"/>
    <w:rsid w:val="000D7FC2"/>
    <w:rsid w:val="000E11C8"/>
    <w:rsid w:val="000E1294"/>
    <w:rsid w:val="000E2474"/>
    <w:rsid w:val="000E456E"/>
    <w:rsid w:val="000E6E73"/>
    <w:rsid w:val="000F037C"/>
    <w:rsid w:val="000F0774"/>
    <w:rsid w:val="000F3C86"/>
    <w:rsid w:val="000F3EE7"/>
    <w:rsid w:val="000F48E9"/>
    <w:rsid w:val="000F58C4"/>
    <w:rsid w:val="000F5CB9"/>
    <w:rsid w:val="00105526"/>
    <w:rsid w:val="001058D1"/>
    <w:rsid w:val="00105FCE"/>
    <w:rsid w:val="0011081C"/>
    <w:rsid w:val="00111760"/>
    <w:rsid w:val="00114C48"/>
    <w:rsid w:val="00117C21"/>
    <w:rsid w:val="001232C3"/>
    <w:rsid w:val="0012541B"/>
    <w:rsid w:val="00125904"/>
    <w:rsid w:val="0012594E"/>
    <w:rsid w:val="00131224"/>
    <w:rsid w:val="00131E30"/>
    <w:rsid w:val="00134364"/>
    <w:rsid w:val="00135552"/>
    <w:rsid w:val="00137BD7"/>
    <w:rsid w:val="00144375"/>
    <w:rsid w:val="00145455"/>
    <w:rsid w:val="00146CB2"/>
    <w:rsid w:val="00151510"/>
    <w:rsid w:val="001518DE"/>
    <w:rsid w:val="00152B7D"/>
    <w:rsid w:val="001542F9"/>
    <w:rsid w:val="0015755E"/>
    <w:rsid w:val="001607EF"/>
    <w:rsid w:val="0016496B"/>
    <w:rsid w:val="0016505B"/>
    <w:rsid w:val="00165CF0"/>
    <w:rsid w:val="00166B1D"/>
    <w:rsid w:val="00170578"/>
    <w:rsid w:val="001714D5"/>
    <w:rsid w:val="001727D8"/>
    <w:rsid w:val="00173A6E"/>
    <w:rsid w:val="001764D3"/>
    <w:rsid w:val="00176632"/>
    <w:rsid w:val="00176FAE"/>
    <w:rsid w:val="0018025C"/>
    <w:rsid w:val="001803F9"/>
    <w:rsid w:val="001834A5"/>
    <w:rsid w:val="001836CB"/>
    <w:rsid w:val="00183F49"/>
    <w:rsid w:val="0018662C"/>
    <w:rsid w:val="001877BB"/>
    <w:rsid w:val="001938E4"/>
    <w:rsid w:val="00194C6B"/>
    <w:rsid w:val="00194CA4"/>
    <w:rsid w:val="00195B20"/>
    <w:rsid w:val="00197154"/>
    <w:rsid w:val="00197B7A"/>
    <w:rsid w:val="001A053F"/>
    <w:rsid w:val="001A1A69"/>
    <w:rsid w:val="001A4895"/>
    <w:rsid w:val="001A49FD"/>
    <w:rsid w:val="001A6AA8"/>
    <w:rsid w:val="001B4821"/>
    <w:rsid w:val="001B614E"/>
    <w:rsid w:val="001B6BEA"/>
    <w:rsid w:val="001B7596"/>
    <w:rsid w:val="001C1339"/>
    <w:rsid w:val="001C569C"/>
    <w:rsid w:val="001C6347"/>
    <w:rsid w:val="001C6D08"/>
    <w:rsid w:val="001D0BFF"/>
    <w:rsid w:val="001D4381"/>
    <w:rsid w:val="001D49A3"/>
    <w:rsid w:val="001D70E5"/>
    <w:rsid w:val="001E119C"/>
    <w:rsid w:val="001E11FD"/>
    <w:rsid w:val="001E1F64"/>
    <w:rsid w:val="001E2545"/>
    <w:rsid w:val="001E3111"/>
    <w:rsid w:val="001E3178"/>
    <w:rsid w:val="001E6175"/>
    <w:rsid w:val="001E7EC5"/>
    <w:rsid w:val="001F0235"/>
    <w:rsid w:val="001F2BD4"/>
    <w:rsid w:val="001F6C69"/>
    <w:rsid w:val="001F76DF"/>
    <w:rsid w:val="001F79DB"/>
    <w:rsid w:val="00200C82"/>
    <w:rsid w:val="002045D9"/>
    <w:rsid w:val="002059F3"/>
    <w:rsid w:val="00206AE9"/>
    <w:rsid w:val="00212A3B"/>
    <w:rsid w:val="00213D49"/>
    <w:rsid w:val="00213D4A"/>
    <w:rsid w:val="00216B51"/>
    <w:rsid w:val="002171B6"/>
    <w:rsid w:val="002176D8"/>
    <w:rsid w:val="002178F8"/>
    <w:rsid w:val="002218EE"/>
    <w:rsid w:val="002247A5"/>
    <w:rsid w:val="00225B5C"/>
    <w:rsid w:val="00227D1F"/>
    <w:rsid w:val="00230708"/>
    <w:rsid w:val="002339A1"/>
    <w:rsid w:val="002361A9"/>
    <w:rsid w:val="00236455"/>
    <w:rsid w:val="0024208D"/>
    <w:rsid w:val="00242A2D"/>
    <w:rsid w:val="00243349"/>
    <w:rsid w:val="002443A6"/>
    <w:rsid w:val="00245352"/>
    <w:rsid w:val="00245562"/>
    <w:rsid w:val="00247EFA"/>
    <w:rsid w:val="00250CA7"/>
    <w:rsid w:val="00250DB6"/>
    <w:rsid w:val="00250F0C"/>
    <w:rsid w:val="00252125"/>
    <w:rsid w:val="0025270D"/>
    <w:rsid w:val="002542C4"/>
    <w:rsid w:val="00254B55"/>
    <w:rsid w:val="00254FF6"/>
    <w:rsid w:val="0026050A"/>
    <w:rsid w:val="0026294B"/>
    <w:rsid w:val="002642E7"/>
    <w:rsid w:val="00264575"/>
    <w:rsid w:val="00265320"/>
    <w:rsid w:val="00266351"/>
    <w:rsid w:val="00267AD1"/>
    <w:rsid w:val="00272031"/>
    <w:rsid w:val="00274822"/>
    <w:rsid w:val="002751E4"/>
    <w:rsid w:val="0027607B"/>
    <w:rsid w:val="002817F7"/>
    <w:rsid w:val="00282C7D"/>
    <w:rsid w:val="00283AAA"/>
    <w:rsid w:val="00285BB2"/>
    <w:rsid w:val="00290913"/>
    <w:rsid w:val="00296528"/>
    <w:rsid w:val="002970AD"/>
    <w:rsid w:val="002A2957"/>
    <w:rsid w:val="002A2FCF"/>
    <w:rsid w:val="002A4286"/>
    <w:rsid w:val="002A73BE"/>
    <w:rsid w:val="002B1262"/>
    <w:rsid w:val="002B1266"/>
    <w:rsid w:val="002B272D"/>
    <w:rsid w:val="002B30A7"/>
    <w:rsid w:val="002C005B"/>
    <w:rsid w:val="002C31DD"/>
    <w:rsid w:val="002C423A"/>
    <w:rsid w:val="002C430C"/>
    <w:rsid w:val="002C5330"/>
    <w:rsid w:val="002C7C3C"/>
    <w:rsid w:val="002D370F"/>
    <w:rsid w:val="002D4E89"/>
    <w:rsid w:val="002D725F"/>
    <w:rsid w:val="002D79D8"/>
    <w:rsid w:val="002E0B37"/>
    <w:rsid w:val="002E1B07"/>
    <w:rsid w:val="002E1B1F"/>
    <w:rsid w:val="002E1E52"/>
    <w:rsid w:val="002E2360"/>
    <w:rsid w:val="002E3A32"/>
    <w:rsid w:val="002E592A"/>
    <w:rsid w:val="002E6AB6"/>
    <w:rsid w:val="002E7D44"/>
    <w:rsid w:val="002F0637"/>
    <w:rsid w:val="002F0E4A"/>
    <w:rsid w:val="002F2ABC"/>
    <w:rsid w:val="002F7059"/>
    <w:rsid w:val="002F75EE"/>
    <w:rsid w:val="00303227"/>
    <w:rsid w:val="0030399B"/>
    <w:rsid w:val="0030498E"/>
    <w:rsid w:val="003054E4"/>
    <w:rsid w:val="003056FF"/>
    <w:rsid w:val="0030579D"/>
    <w:rsid w:val="003060E9"/>
    <w:rsid w:val="00316140"/>
    <w:rsid w:val="00316FF9"/>
    <w:rsid w:val="003178CE"/>
    <w:rsid w:val="0032018A"/>
    <w:rsid w:val="00321760"/>
    <w:rsid w:val="0032218E"/>
    <w:rsid w:val="003233F1"/>
    <w:rsid w:val="003246A3"/>
    <w:rsid w:val="00331BA8"/>
    <w:rsid w:val="00331E70"/>
    <w:rsid w:val="00333264"/>
    <w:rsid w:val="003339BC"/>
    <w:rsid w:val="00335880"/>
    <w:rsid w:val="00340A83"/>
    <w:rsid w:val="0034402C"/>
    <w:rsid w:val="00344189"/>
    <w:rsid w:val="00353732"/>
    <w:rsid w:val="00355C37"/>
    <w:rsid w:val="00360402"/>
    <w:rsid w:val="00361CE6"/>
    <w:rsid w:val="00364C2C"/>
    <w:rsid w:val="00366218"/>
    <w:rsid w:val="00367F7F"/>
    <w:rsid w:val="0037176D"/>
    <w:rsid w:val="00372878"/>
    <w:rsid w:val="003732E2"/>
    <w:rsid w:val="00374761"/>
    <w:rsid w:val="00380A9D"/>
    <w:rsid w:val="003813AA"/>
    <w:rsid w:val="00383A7B"/>
    <w:rsid w:val="00385FD3"/>
    <w:rsid w:val="00386268"/>
    <w:rsid w:val="00386606"/>
    <w:rsid w:val="0038698B"/>
    <w:rsid w:val="003870AF"/>
    <w:rsid w:val="00392159"/>
    <w:rsid w:val="0039289A"/>
    <w:rsid w:val="003938DE"/>
    <w:rsid w:val="003959CE"/>
    <w:rsid w:val="003A29F3"/>
    <w:rsid w:val="003A70D8"/>
    <w:rsid w:val="003A76F4"/>
    <w:rsid w:val="003A7CF4"/>
    <w:rsid w:val="003B05B1"/>
    <w:rsid w:val="003B2771"/>
    <w:rsid w:val="003B3075"/>
    <w:rsid w:val="003B3C60"/>
    <w:rsid w:val="003B5004"/>
    <w:rsid w:val="003B5F11"/>
    <w:rsid w:val="003C2045"/>
    <w:rsid w:val="003C35F8"/>
    <w:rsid w:val="003C3AB8"/>
    <w:rsid w:val="003C403F"/>
    <w:rsid w:val="003C71E9"/>
    <w:rsid w:val="003C7471"/>
    <w:rsid w:val="003D2FBE"/>
    <w:rsid w:val="003D35E0"/>
    <w:rsid w:val="003D4E89"/>
    <w:rsid w:val="003E217E"/>
    <w:rsid w:val="003E5BF6"/>
    <w:rsid w:val="003E683A"/>
    <w:rsid w:val="003E7D36"/>
    <w:rsid w:val="003F0495"/>
    <w:rsid w:val="003F376B"/>
    <w:rsid w:val="003F4328"/>
    <w:rsid w:val="003F4E5D"/>
    <w:rsid w:val="003F5595"/>
    <w:rsid w:val="003F6FF8"/>
    <w:rsid w:val="004020F3"/>
    <w:rsid w:val="004047F9"/>
    <w:rsid w:val="00405AAF"/>
    <w:rsid w:val="00406858"/>
    <w:rsid w:val="00411CC9"/>
    <w:rsid w:val="00413189"/>
    <w:rsid w:val="00414AF3"/>
    <w:rsid w:val="004156AD"/>
    <w:rsid w:val="0041698F"/>
    <w:rsid w:val="00421DDB"/>
    <w:rsid w:val="00422693"/>
    <w:rsid w:val="004227B1"/>
    <w:rsid w:val="00423ECE"/>
    <w:rsid w:val="00425A3B"/>
    <w:rsid w:val="00426085"/>
    <w:rsid w:val="00430149"/>
    <w:rsid w:val="004322A8"/>
    <w:rsid w:val="00435151"/>
    <w:rsid w:val="00441723"/>
    <w:rsid w:val="00441CF7"/>
    <w:rsid w:val="0044297C"/>
    <w:rsid w:val="0044393B"/>
    <w:rsid w:val="004452D6"/>
    <w:rsid w:val="00445E3A"/>
    <w:rsid w:val="00447659"/>
    <w:rsid w:val="00447AB2"/>
    <w:rsid w:val="00451237"/>
    <w:rsid w:val="00451A28"/>
    <w:rsid w:val="004528AA"/>
    <w:rsid w:val="00452F1F"/>
    <w:rsid w:val="00456BD4"/>
    <w:rsid w:val="00457331"/>
    <w:rsid w:val="00460B08"/>
    <w:rsid w:val="00461151"/>
    <w:rsid w:val="00461C32"/>
    <w:rsid w:val="00462E40"/>
    <w:rsid w:val="00463892"/>
    <w:rsid w:val="00463C2A"/>
    <w:rsid w:val="004724FF"/>
    <w:rsid w:val="00472732"/>
    <w:rsid w:val="004734D4"/>
    <w:rsid w:val="0047551E"/>
    <w:rsid w:val="00476486"/>
    <w:rsid w:val="0048073A"/>
    <w:rsid w:val="004828A5"/>
    <w:rsid w:val="00486B21"/>
    <w:rsid w:val="00490096"/>
    <w:rsid w:val="0049037B"/>
    <w:rsid w:val="0049132E"/>
    <w:rsid w:val="00493D3A"/>
    <w:rsid w:val="00493F6F"/>
    <w:rsid w:val="0049455C"/>
    <w:rsid w:val="00497C7C"/>
    <w:rsid w:val="004A0A53"/>
    <w:rsid w:val="004A4AC4"/>
    <w:rsid w:val="004A51F3"/>
    <w:rsid w:val="004A5743"/>
    <w:rsid w:val="004A68A3"/>
    <w:rsid w:val="004B06CA"/>
    <w:rsid w:val="004B5A5B"/>
    <w:rsid w:val="004B7F90"/>
    <w:rsid w:val="004C2AD1"/>
    <w:rsid w:val="004C4E1B"/>
    <w:rsid w:val="004D04FB"/>
    <w:rsid w:val="004D0D13"/>
    <w:rsid w:val="004D0D77"/>
    <w:rsid w:val="004D112A"/>
    <w:rsid w:val="004D190F"/>
    <w:rsid w:val="004D1F43"/>
    <w:rsid w:val="004D4619"/>
    <w:rsid w:val="004D5544"/>
    <w:rsid w:val="004D6AA1"/>
    <w:rsid w:val="004E0464"/>
    <w:rsid w:val="004E0950"/>
    <w:rsid w:val="004E1EA0"/>
    <w:rsid w:val="004E3F98"/>
    <w:rsid w:val="004E7FBE"/>
    <w:rsid w:val="004F1009"/>
    <w:rsid w:val="004F12E1"/>
    <w:rsid w:val="004F1768"/>
    <w:rsid w:val="004F2196"/>
    <w:rsid w:val="004F2C3B"/>
    <w:rsid w:val="004F5349"/>
    <w:rsid w:val="004F5432"/>
    <w:rsid w:val="004F5EBD"/>
    <w:rsid w:val="004F6AFF"/>
    <w:rsid w:val="004F7E61"/>
    <w:rsid w:val="00500F13"/>
    <w:rsid w:val="00501228"/>
    <w:rsid w:val="0050327D"/>
    <w:rsid w:val="00506018"/>
    <w:rsid w:val="0051452F"/>
    <w:rsid w:val="00515781"/>
    <w:rsid w:val="00515C66"/>
    <w:rsid w:val="0051693F"/>
    <w:rsid w:val="0052595C"/>
    <w:rsid w:val="00526170"/>
    <w:rsid w:val="005265D2"/>
    <w:rsid w:val="00527268"/>
    <w:rsid w:val="005339B7"/>
    <w:rsid w:val="00533EAE"/>
    <w:rsid w:val="0053531A"/>
    <w:rsid w:val="00541295"/>
    <w:rsid w:val="00542B72"/>
    <w:rsid w:val="00543BBE"/>
    <w:rsid w:val="00553738"/>
    <w:rsid w:val="005561CD"/>
    <w:rsid w:val="005565DC"/>
    <w:rsid w:val="00560B16"/>
    <w:rsid w:val="00562C6D"/>
    <w:rsid w:val="00563D14"/>
    <w:rsid w:val="005641C6"/>
    <w:rsid w:val="00564B90"/>
    <w:rsid w:val="0056636F"/>
    <w:rsid w:val="00567351"/>
    <w:rsid w:val="00567625"/>
    <w:rsid w:val="005712F2"/>
    <w:rsid w:val="00571435"/>
    <w:rsid w:val="005721F3"/>
    <w:rsid w:val="00572CE8"/>
    <w:rsid w:val="00572DBA"/>
    <w:rsid w:val="00572F29"/>
    <w:rsid w:val="0057367B"/>
    <w:rsid w:val="00576CB4"/>
    <w:rsid w:val="00580C59"/>
    <w:rsid w:val="00583427"/>
    <w:rsid w:val="00583695"/>
    <w:rsid w:val="00584D91"/>
    <w:rsid w:val="00587C01"/>
    <w:rsid w:val="00590416"/>
    <w:rsid w:val="0059361D"/>
    <w:rsid w:val="005962F3"/>
    <w:rsid w:val="005971BD"/>
    <w:rsid w:val="005A30C5"/>
    <w:rsid w:val="005A5182"/>
    <w:rsid w:val="005B0018"/>
    <w:rsid w:val="005B386B"/>
    <w:rsid w:val="005B3FF8"/>
    <w:rsid w:val="005B52E3"/>
    <w:rsid w:val="005B54A9"/>
    <w:rsid w:val="005C1466"/>
    <w:rsid w:val="005C1A1E"/>
    <w:rsid w:val="005C40CE"/>
    <w:rsid w:val="005D01A8"/>
    <w:rsid w:val="005D1670"/>
    <w:rsid w:val="005D25C4"/>
    <w:rsid w:val="005D3ED9"/>
    <w:rsid w:val="005D6EB3"/>
    <w:rsid w:val="005E1E42"/>
    <w:rsid w:val="005E2F19"/>
    <w:rsid w:val="005E30AF"/>
    <w:rsid w:val="005F0305"/>
    <w:rsid w:val="005F3D94"/>
    <w:rsid w:val="005F5C0E"/>
    <w:rsid w:val="005F653D"/>
    <w:rsid w:val="005F69FC"/>
    <w:rsid w:val="00600339"/>
    <w:rsid w:val="006008CE"/>
    <w:rsid w:val="006035D5"/>
    <w:rsid w:val="00607639"/>
    <w:rsid w:val="00611BA2"/>
    <w:rsid w:val="006127D7"/>
    <w:rsid w:val="00617258"/>
    <w:rsid w:val="00617E01"/>
    <w:rsid w:val="0062097D"/>
    <w:rsid w:val="006233B5"/>
    <w:rsid w:val="00624C49"/>
    <w:rsid w:val="00626632"/>
    <w:rsid w:val="00630DB5"/>
    <w:rsid w:val="0063117F"/>
    <w:rsid w:val="006311B9"/>
    <w:rsid w:val="00632D32"/>
    <w:rsid w:val="00632DDE"/>
    <w:rsid w:val="006351EB"/>
    <w:rsid w:val="006356AB"/>
    <w:rsid w:val="00636538"/>
    <w:rsid w:val="00636E80"/>
    <w:rsid w:val="0063709F"/>
    <w:rsid w:val="00643FA0"/>
    <w:rsid w:val="00646894"/>
    <w:rsid w:val="00646D5D"/>
    <w:rsid w:val="00652903"/>
    <w:rsid w:val="00653B59"/>
    <w:rsid w:val="0065459B"/>
    <w:rsid w:val="006603A4"/>
    <w:rsid w:val="00666384"/>
    <w:rsid w:val="00666A24"/>
    <w:rsid w:val="0067115D"/>
    <w:rsid w:val="00671545"/>
    <w:rsid w:val="00671ED6"/>
    <w:rsid w:val="006752FF"/>
    <w:rsid w:val="00675F60"/>
    <w:rsid w:val="00677B1B"/>
    <w:rsid w:val="00681F6E"/>
    <w:rsid w:val="00682D46"/>
    <w:rsid w:val="0068667A"/>
    <w:rsid w:val="006900FF"/>
    <w:rsid w:val="00690CC3"/>
    <w:rsid w:val="006929BC"/>
    <w:rsid w:val="0069571F"/>
    <w:rsid w:val="00697A91"/>
    <w:rsid w:val="006A0BF5"/>
    <w:rsid w:val="006A15B1"/>
    <w:rsid w:val="006A1DCD"/>
    <w:rsid w:val="006A2302"/>
    <w:rsid w:val="006A29C3"/>
    <w:rsid w:val="006A3680"/>
    <w:rsid w:val="006A4A1E"/>
    <w:rsid w:val="006A7523"/>
    <w:rsid w:val="006A7EDA"/>
    <w:rsid w:val="006B043F"/>
    <w:rsid w:val="006B1C99"/>
    <w:rsid w:val="006B1F77"/>
    <w:rsid w:val="006B381D"/>
    <w:rsid w:val="006B42F3"/>
    <w:rsid w:val="006B4888"/>
    <w:rsid w:val="006B7C7E"/>
    <w:rsid w:val="006C1BB9"/>
    <w:rsid w:val="006E2F2B"/>
    <w:rsid w:val="006E2F4C"/>
    <w:rsid w:val="006E3139"/>
    <w:rsid w:val="006E404C"/>
    <w:rsid w:val="006E71E5"/>
    <w:rsid w:val="006F0100"/>
    <w:rsid w:val="006F0DD3"/>
    <w:rsid w:val="006F1AAE"/>
    <w:rsid w:val="006F1C0E"/>
    <w:rsid w:val="006F5FBE"/>
    <w:rsid w:val="006F626B"/>
    <w:rsid w:val="006F7ED2"/>
    <w:rsid w:val="00701380"/>
    <w:rsid w:val="00701BE9"/>
    <w:rsid w:val="00703357"/>
    <w:rsid w:val="00704DC9"/>
    <w:rsid w:val="007056CF"/>
    <w:rsid w:val="007126FB"/>
    <w:rsid w:val="0071550B"/>
    <w:rsid w:val="0071735A"/>
    <w:rsid w:val="00717C3F"/>
    <w:rsid w:val="00721403"/>
    <w:rsid w:val="00727384"/>
    <w:rsid w:val="00727525"/>
    <w:rsid w:val="007316A7"/>
    <w:rsid w:val="00733969"/>
    <w:rsid w:val="00735A8F"/>
    <w:rsid w:val="00740000"/>
    <w:rsid w:val="007416D1"/>
    <w:rsid w:val="00743818"/>
    <w:rsid w:val="007475BC"/>
    <w:rsid w:val="007504AE"/>
    <w:rsid w:val="007504E9"/>
    <w:rsid w:val="00754185"/>
    <w:rsid w:val="00755731"/>
    <w:rsid w:val="00755DAE"/>
    <w:rsid w:val="00760902"/>
    <w:rsid w:val="00761C99"/>
    <w:rsid w:val="00764474"/>
    <w:rsid w:val="00764536"/>
    <w:rsid w:val="0076736C"/>
    <w:rsid w:val="00772C1C"/>
    <w:rsid w:val="00773AC6"/>
    <w:rsid w:val="00781EB1"/>
    <w:rsid w:val="0078648D"/>
    <w:rsid w:val="00787636"/>
    <w:rsid w:val="00787ED9"/>
    <w:rsid w:val="00790EAB"/>
    <w:rsid w:val="007926B4"/>
    <w:rsid w:val="00793A00"/>
    <w:rsid w:val="00794FF6"/>
    <w:rsid w:val="007A4605"/>
    <w:rsid w:val="007A7B88"/>
    <w:rsid w:val="007A7E13"/>
    <w:rsid w:val="007B0F6D"/>
    <w:rsid w:val="007B13B4"/>
    <w:rsid w:val="007B550A"/>
    <w:rsid w:val="007B60D7"/>
    <w:rsid w:val="007C519B"/>
    <w:rsid w:val="007C7828"/>
    <w:rsid w:val="007C7CDF"/>
    <w:rsid w:val="007D10FD"/>
    <w:rsid w:val="007D194C"/>
    <w:rsid w:val="007D2A13"/>
    <w:rsid w:val="007D6BBC"/>
    <w:rsid w:val="007D7D6C"/>
    <w:rsid w:val="007E0CD8"/>
    <w:rsid w:val="007E2506"/>
    <w:rsid w:val="007E28D4"/>
    <w:rsid w:val="007E59D2"/>
    <w:rsid w:val="007E6F57"/>
    <w:rsid w:val="007E7AAD"/>
    <w:rsid w:val="007F27ED"/>
    <w:rsid w:val="007F363F"/>
    <w:rsid w:val="007F44E3"/>
    <w:rsid w:val="007F6205"/>
    <w:rsid w:val="007F6C0C"/>
    <w:rsid w:val="007F7C38"/>
    <w:rsid w:val="00802E5C"/>
    <w:rsid w:val="00803C1D"/>
    <w:rsid w:val="0080604B"/>
    <w:rsid w:val="008104CD"/>
    <w:rsid w:val="008120A9"/>
    <w:rsid w:val="00817764"/>
    <w:rsid w:val="00823D92"/>
    <w:rsid w:val="00824D52"/>
    <w:rsid w:val="008329C8"/>
    <w:rsid w:val="0083433B"/>
    <w:rsid w:val="00837189"/>
    <w:rsid w:val="00837508"/>
    <w:rsid w:val="008416C1"/>
    <w:rsid w:val="00846126"/>
    <w:rsid w:val="0084720E"/>
    <w:rsid w:val="0085038D"/>
    <w:rsid w:val="00850630"/>
    <w:rsid w:val="00851DFB"/>
    <w:rsid w:val="008529B8"/>
    <w:rsid w:val="00853FE5"/>
    <w:rsid w:val="00854216"/>
    <w:rsid w:val="008547BF"/>
    <w:rsid w:val="00860E1E"/>
    <w:rsid w:val="00862C6E"/>
    <w:rsid w:val="00862C76"/>
    <w:rsid w:val="0086558B"/>
    <w:rsid w:val="00867B03"/>
    <w:rsid w:val="00867BBD"/>
    <w:rsid w:val="00870498"/>
    <w:rsid w:val="00877620"/>
    <w:rsid w:val="008777F6"/>
    <w:rsid w:val="008816DD"/>
    <w:rsid w:val="008853D9"/>
    <w:rsid w:val="00887CA9"/>
    <w:rsid w:val="00892F11"/>
    <w:rsid w:val="00893E6E"/>
    <w:rsid w:val="008952A9"/>
    <w:rsid w:val="008A06E6"/>
    <w:rsid w:val="008A26DD"/>
    <w:rsid w:val="008A317A"/>
    <w:rsid w:val="008A405F"/>
    <w:rsid w:val="008A4705"/>
    <w:rsid w:val="008A6777"/>
    <w:rsid w:val="008A7315"/>
    <w:rsid w:val="008A73FB"/>
    <w:rsid w:val="008A7B5C"/>
    <w:rsid w:val="008B191D"/>
    <w:rsid w:val="008B465A"/>
    <w:rsid w:val="008C30C6"/>
    <w:rsid w:val="008C32F2"/>
    <w:rsid w:val="008C4D2D"/>
    <w:rsid w:val="008D4A30"/>
    <w:rsid w:val="008D541A"/>
    <w:rsid w:val="008D791B"/>
    <w:rsid w:val="008E0464"/>
    <w:rsid w:val="008E123F"/>
    <w:rsid w:val="008E1DF4"/>
    <w:rsid w:val="008E25E1"/>
    <w:rsid w:val="008E2BC9"/>
    <w:rsid w:val="008E377D"/>
    <w:rsid w:val="008E46E1"/>
    <w:rsid w:val="008E734E"/>
    <w:rsid w:val="008F0BD7"/>
    <w:rsid w:val="008F1A0F"/>
    <w:rsid w:val="008F2516"/>
    <w:rsid w:val="008F7B59"/>
    <w:rsid w:val="00901B67"/>
    <w:rsid w:val="009026AD"/>
    <w:rsid w:val="009059C6"/>
    <w:rsid w:val="00910566"/>
    <w:rsid w:val="00911C1F"/>
    <w:rsid w:val="009149A7"/>
    <w:rsid w:val="00914F91"/>
    <w:rsid w:val="00916228"/>
    <w:rsid w:val="009257B6"/>
    <w:rsid w:val="00925D3D"/>
    <w:rsid w:val="00925DA9"/>
    <w:rsid w:val="009270D2"/>
    <w:rsid w:val="00930313"/>
    <w:rsid w:val="00933F3D"/>
    <w:rsid w:val="0093620D"/>
    <w:rsid w:val="00941FBA"/>
    <w:rsid w:val="009424FC"/>
    <w:rsid w:val="0094376A"/>
    <w:rsid w:val="0094547F"/>
    <w:rsid w:val="0095114D"/>
    <w:rsid w:val="00953A6C"/>
    <w:rsid w:val="00955065"/>
    <w:rsid w:val="0095593C"/>
    <w:rsid w:val="009570B5"/>
    <w:rsid w:val="009572D7"/>
    <w:rsid w:val="0095789A"/>
    <w:rsid w:val="00961FF5"/>
    <w:rsid w:val="00963369"/>
    <w:rsid w:val="00963B2F"/>
    <w:rsid w:val="00965E19"/>
    <w:rsid w:val="009660BC"/>
    <w:rsid w:val="009668F6"/>
    <w:rsid w:val="00971503"/>
    <w:rsid w:val="00977E4B"/>
    <w:rsid w:val="00983F06"/>
    <w:rsid w:val="00984C9D"/>
    <w:rsid w:val="00985597"/>
    <w:rsid w:val="00986FDE"/>
    <w:rsid w:val="00991BAD"/>
    <w:rsid w:val="0099254E"/>
    <w:rsid w:val="00994188"/>
    <w:rsid w:val="00994B74"/>
    <w:rsid w:val="00997190"/>
    <w:rsid w:val="009A0EE1"/>
    <w:rsid w:val="009A440B"/>
    <w:rsid w:val="009A781E"/>
    <w:rsid w:val="009B0D40"/>
    <w:rsid w:val="009B3938"/>
    <w:rsid w:val="009C0457"/>
    <w:rsid w:val="009C24EB"/>
    <w:rsid w:val="009C36F9"/>
    <w:rsid w:val="009C49F8"/>
    <w:rsid w:val="009C75CF"/>
    <w:rsid w:val="009D0B92"/>
    <w:rsid w:val="009D0C06"/>
    <w:rsid w:val="009D1687"/>
    <w:rsid w:val="009D4719"/>
    <w:rsid w:val="009D6E6D"/>
    <w:rsid w:val="009E048A"/>
    <w:rsid w:val="009E778C"/>
    <w:rsid w:val="009F005D"/>
    <w:rsid w:val="009F2955"/>
    <w:rsid w:val="00A004AE"/>
    <w:rsid w:val="00A0103D"/>
    <w:rsid w:val="00A01139"/>
    <w:rsid w:val="00A03974"/>
    <w:rsid w:val="00A04663"/>
    <w:rsid w:val="00A1008F"/>
    <w:rsid w:val="00A148E4"/>
    <w:rsid w:val="00A14AB3"/>
    <w:rsid w:val="00A2582A"/>
    <w:rsid w:val="00A25A92"/>
    <w:rsid w:val="00A3337C"/>
    <w:rsid w:val="00A342FF"/>
    <w:rsid w:val="00A3619E"/>
    <w:rsid w:val="00A367C6"/>
    <w:rsid w:val="00A36EF1"/>
    <w:rsid w:val="00A400CF"/>
    <w:rsid w:val="00A408A9"/>
    <w:rsid w:val="00A4154A"/>
    <w:rsid w:val="00A437E8"/>
    <w:rsid w:val="00A503D5"/>
    <w:rsid w:val="00A529B4"/>
    <w:rsid w:val="00A529DF"/>
    <w:rsid w:val="00A545D5"/>
    <w:rsid w:val="00A603BC"/>
    <w:rsid w:val="00A63082"/>
    <w:rsid w:val="00A65588"/>
    <w:rsid w:val="00A6756F"/>
    <w:rsid w:val="00A72993"/>
    <w:rsid w:val="00A72DF9"/>
    <w:rsid w:val="00A74BBC"/>
    <w:rsid w:val="00A76711"/>
    <w:rsid w:val="00A768E9"/>
    <w:rsid w:val="00A77ED2"/>
    <w:rsid w:val="00A8083E"/>
    <w:rsid w:val="00A90AE0"/>
    <w:rsid w:val="00A91A8C"/>
    <w:rsid w:val="00A9227B"/>
    <w:rsid w:val="00A925E0"/>
    <w:rsid w:val="00A9439F"/>
    <w:rsid w:val="00A9788C"/>
    <w:rsid w:val="00A97B53"/>
    <w:rsid w:val="00A97E96"/>
    <w:rsid w:val="00AA041C"/>
    <w:rsid w:val="00AA3D7B"/>
    <w:rsid w:val="00AA6440"/>
    <w:rsid w:val="00AB133E"/>
    <w:rsid w:val="00AB2B1D"/>
    <w:rsid w:val="00AB56FB"/>
    <w:rsid w:val="00AB6D23"/>
    <w:rsid w:val="00AB6E58"/>
    <w:rsid w:val="00AB7527"/>
    <w:rsid w:val="00AB7E95"/>
    <w:rsid w:val="00AC070B"/>
    <w:rsid w:val="00AC6135"/>
    <w:rsid w:val="00AC6472"/>
    <w:rsid w:val="00AD78B5"/>
    <w:rsid w:val="00AE6D6E"/>
    <w:rsid w:val="00AF089B"/>
    <w:rsid w:val="00AF0F64"/>
    <w:rsid w:val="00AF1469"/>
    <w:rsid w:val="00AF537C"/>
    <w:rsid w:val="00B031CE"/>
    <w:rsid w:val="00B03C93"/>
    <w:rsid w:val="00B050B6"/>
    <w:rsid w:val="00B102D6"/>
    <w:rsid w:val="00B1106C"/>
    <w:rsid w:val="00B12008"/>
    <w:rsid w:val="00B203DC"/>
    <w:rsid w:val="00B23574"/>
    <w:rsid w:val="00B24D62"/>
    <w:rsid w:val="00B24D83"/>
    <w:rsid w:val="00B25BB4"/>
    <w:rsid w:val="00B300EF"/>
    <w:rsid w:val="00B30414"/>
    <w:rsid w:val="00B316A2"/>
    <w:rsid w:val="00B32ACF"/>
    <w:rsid w:val="00B3472A"/>
    <w:rsid w:val="00B407CF"/>
    <w:rsid w:val="00B44ED3"/>
    <w:rsid w:val="00B4640E"/>
    <w:rsid w:val="00B47353"/>
    <w:rsid w:val="00B47926"/>
    <w:rsid w:val="00B5097F"/>
    <w:rsid w:val="00B51950"/>
    <w:rsid w:val="00B52663"/>
    <w:rsid w:val="00B54130"/>
    <w:rsid w:val="00B5518C"/>
    <w:rsid w:val="00B57230"/>
    <w:rsid w:val="00B57698"/>
    <w:rsid w:val="00B62BD2"/>
    <w:rsid w:val="00B64413"/>
    <w:rsid w:val="00B648E8"/>
    <w:rsid w:val="00B652DF"/>
    <w:rsid w:val="00B71CF9"/>
    <w:rsid w:val="00B85E60"/>
    <w:rsid w:val="00B86E41"/>
    <w:rsid w:val="00B87345"/>
    <w:rsid w:val="00B87CF2"/>
    <w:rsid w:val="00B9054D"/>
    <w:rsid w:val="00B91096"/>
    <w:rsid w:val="00B937A9"/>
    <w:rsid w:val="00B94006"/>
    <w:rsid w:val="00B958CB"/>
    <w:rsid w:val="00BA2ABD"/>
    <w:rsid w:val="00BA58E3"/>
    <w:rsid w:val="00BA6289"/>
    <w:rsid w:val="00BA74EA"/>
    <w:rsid w:val="00BA7ED9"/>
    <w:rsid w:val="00BB392F"/>
    <w:rsid w:val="00BB6719"/>
    <w:rsid w:val="00BB7188"/>
    <w:rsid w:val="00BC100B"/>
    <w:rsid w:val="00BC1599"/>
    <w:rsid w:val="00BC1753"/>
    <w:rsid w:val="00BC2027"/>
    <w:rsid w:val="00BC4CB5"/>
    <w:rsid w:val="00BD0EEE"/>
    <w:rsid w:val="00BD11AF"/>
    <w:rsid w:val="00BD136D"/>
    <w:rsid w:val="00BD2C55"/>
    <w:rsid w:val="00BD2D1D"/>
    <w:rsid w:val="00BD30FA"/>
    <w:rsid w:val="00BD32BD"/>
    <w:rsid w:val="00BD331E"/>
    <w:rsid w:val="00BD454E"/>
    <w:rsid w:val="00BD4B7C"/>
    <w:rsid w:val="00BE01A1"/>
    <w:rsid w:val="00BE3308"/>
    <w:rsid w:val="00BE3C81"/>
    <w:rsid w:val="00BE46C2"/>
    <w:rsid w:val="00BE701F"/>
    <w:rsid w:val="00BE767F"/>
    <w:rsid w:val="00BF0B0B"/>
    <w:rsid w:val="00BF4426"/>
    <w:rsid w:val="00BF48C8"/>
    <w:rsid w:val="00BF4F2D"/>
    <w:rsid w:val="00BF58CB"/>
    <w:rsid w:val="00BF690A"/>
    <w:rsid w:val="00BF711E"/>
    <w:rsid w:val="00C00374"/>
    <w:rsid w:val="00C01C1E"/>
    <w:rsid w:val="00C041C9"/>
    <w:rsid w:val="00C05A54"/>
    <w:rsid w:val="00C073AB"/>
    <w:rsid w:val="00C15F74"/>
    <w:rsid w:val="00C20A07"/>
    <w:rsid w:val="00C20E6E"/>
    <w:rsid w:val="00C23342"/>
    <w:rsid w:val="00C26993"/>
    <w:rsid w:val="00C30305"/>
    <w:rsid w:val="00C30EB3"/>
    <w:rsid w:val="00C314F5"/>
    <w:rsid w:val="00C33BE8"/>
    <w:rsid w:val="00C40105"/>
    <w:rsid w:val="00C41C61"/>
    <w:rsid w:val="00C422E4"/>
    <w:rsid w:val="00C42FEE"/>
    <w:rsid w:val="00C431D0"/>
    <w:rsid w:val="00C436B1"/>
    <w:rsid w:val="00C44A92"/>
    <w:rsid w:val="00C45491"/>
    <w:rsid w:val="00C47032"/>
    <w:rsid w:val="00C4705F"/>
    <w:rsid w:val="00C47B8C"/>
    <w:rsid w:val="00C47E47"/>
    <w:rsid w:val="00C52B0A"/>
    <w:rsid w:val="00C535EA"/>
    <w:rsid w:val="00C5671B"/>
    <w:rsid w:val="00C678ED"/>
    <w:rsid w:val="00C7021C"/>
    <w:rsid w:val="00C70D1C"/>
    <w:rsid w:val="00C73327"/>
    <w:rsid w:val="00C74720"/>
    <w:rsid w:val="00C750DB"/>
    <w:rsid w:val="00C75EE0"/>
    <w:rsid w:val="00C80809"/>
    <w:rsid w:val="00C82D3E"/>
    <w:rsid w:val="00C83192"/>
    <w:rsid w:val="00C8360E"/>
    <w:rsid w:val="00C83F57"/>
    <w:rsid w:val="00C83F8A"/>
    <w:rsid w:val="00C85D36"/>
    <w:rsid w:val="00C872E3"/>
    <w:rsid w:val="00C9087D"/>
    <w:rsid w:val="00C97904"/>
    <w:rsid w:val="00C979E1"/>
    <w:rsid w:val="00CA0466"/>
    <w:rsid w:val="00CA050C"/>
    <w:rsid w:val="00CA3D2B"/>
    <w:rsid w:val="00CA785A"/>
    <w:rsid w:val="00CA7B9B"/>
    <w:rsid w:val="00CB0B8F"/>
    <w:rsid w:val="00CB36FA"/>
    <w:rsid w:val="00CB490C"/>
    <w:rsid w:val="00CB56EF"/>
    <w:rsid w:val="00CB66BD"/>
    <w:rsid w:val="00CB789F"/>
    <w:rsid w:val="00CC1DE7"/>
    <w:rsid w:val="00CC5FFB"/>
    <w:rsid w:val="00CC7DF3"/>
    <w:rsid w:val="00CD3AF6"/>
    <w:rsid w:val="00CD59D7"/>
    <w:rsid w:val="00CE1577"/>
    <w:rsid w:val="00CE2759"/>
    <w:rsid w:val="00CE35B4"/>
    <w:rsid w:val="00CE3778"/>
    <w:rsid w:val="00CE38B8"/>
    <w:rsid w:val="00CE4CED"/>
    <w:rsid w:val="00CF1275"/>
    <w:rsid w:val="00D0003C"/>
    <w:rsid w:val="00D00150"/>
    <w:rsid w:val="00D00588"/>
    <w:rsid w:val="00D02348"/>
    <w:rsid w:val="00D05761"/>
    <w:rsid w:val="00D06384"/>
    <w:rsid w:val="00D0678D"/>
    <w:rsid w:val="00D072B7"/>
    <w:rsid w:val="00D07F73"/>
    <w:rsid w:val="00D07FA5"/>
    <w:rsid w:val="00D11A29"/>
    <w:rsid w:val="00D122D8"/>
    <w:rsid w:val="00D16798"/>
    <w:rsid w:val="00D20DE6"/>
    <w:rsid w:val="00D226CD"/>
    <w:rsid w:val="00D3006E"/>
    <w:rsid w:val="00D30B74"/>
    <w:rsid w:val="00D314DA"/>
    <w:rsid w:val="00D3207E"/>
    <w:rsid w:val="00D33FC3"/>
    <w:rsid w:val="00D350AA"/>
    <w:rsid w:val="00D36C57"/>
    <w:rsid w:val="00D42298"/>
    <w:rsid w:val="00D51409"/>
    <w:rsid w:val="00D52EBC"/>
    <w:rsid w:val="00D53244"/>
    <w:rsid w:val="00D5405D"/>
    <w:rsid w:val="00D55A7A"/>
    <w:rsid w:val="00D560A5"/>
    <w:rsid w:val="00D618BE"/>
    <w:rsid w:val="00D627CB"/>
    <w:rsid w:val="00D62CFE"/>
    <w:rsid w:val="00D665E7"/>
    <w:rsid w:val="00D72EB2"/>
    <w:rsid w:val="00D73A49"/>
    <w:rsid w:val="00D74919"/>
    <w:rsid w:val="00D75027"/>
    <w:rsid w:val="00D76E9D"/>
    <w:rsid w:val="00D8031E"/>
    <w:rsid w:val="00D808BD"/>
    <w:rsid w:val="00D8164E"/>
    <w:rsid w:val="00D8538C"/>
    <w:rsid w:val="00D87CF8"/>
    <w:rsid w:val="00D91DF4"/>
    <w:rsid w:val="00D91E92"/>
    <w:rsid w:val="00D956A4"/>
    <w:rsid w:val="00D97914"/>
    <w:rsid w:val="00DA008A"/>
    <w:rsid w:val="00DA355E"/>
    <w:rsid w:val="00DA3EE8"/>
    <w:rsid w:val="00DA43B1"/>
    <w:rsid w:val="00DA5799"/>
    <w:rsid w:val="00DA5D9C"/>
    <w:rsid w:val="00DA6D31"/>
    <w:rsid w:val="00DA7889"/>
    <w:rsid w:val="00DB0A03"/>
    <w:rsid w:val="00DB193A"/>
    <w:rsid w:val="00DB2719"/>
    <w:rsid w:val="00DB2D0C"/>
    <w:rsid w:val="00DB3CFF"/>
    <w:rsid w:val="00DB5060"/>
    <w:rsid w:val="00DB7DAC"/>
    <w:rsid w:val="00DC2E15"/>
    <w:rsid w:val="00DC7422"/>
    <w:rsid w:val="00DD0077"/>
    <w:rsid w:val="00DD3D69"/>
    <w:rsid w:val="00DD5938"/>
    <w:rsid w:val="00DD66CB"/>
    <w:rsid w:val="00DE007C"/>
    <w:rsid w:val="00DE0537"/>
    <w:rsid w:val="00DE3C91"/>
    <w:rsid w:val="00DE5064"/>
    <w:rsid w:val="00DE7891"/>
    <w:rsid w:val="00DF1646"/>
    <w:rsid w:val="00DF1799"/>
    <w:rsid w:val="00DF34BD"/>
    <w:rsid w:val="00DF5FFA"/>
    <w:rsid w:val="00DF736C"/>
    <w:rsid w:val="00E00ACB"/>
    <w:rsid w:val="00E016E8"/>
    <w:rsid w:val="00E03C90"/>
    <w:rsid w:val="00E0581E"/>
    <w:rsid w:val="00E10252"/>
    <w:rsid w:val="00E135B8"/>
    <w:rsid w:val="00E15121"/>
    <w:rsid w:val="00E167AD"/>
    <w:rsid w:val="00E17E74"/>
    <w:rsid w:val="00E22C7D"/>
    <w:rsid w:val="00E2373D"/>
    <w:rsid w:val="00E24A65"/>
    <w:rsid w:val="00E25164"/>
    <w:rsid w:val="00E27F88"/>
    <w:rsid w:val="00E318E5"/>
    <w:rsid w:val="00E31FA8"/>
    <w:rsid w:val="00E33AAF"/>
    <w:rsid w:val="00E33D45"/>
    <w:rsid w:val="00E36273"/>
    <w:rsid w:val="00E41939"/>
    <w:rsid w:val="00E41B75"/>
    <w:rsid w:val="00E42E63"/>
    <w:rsid w:val="00E446EE"/>
    <w:rsid w:val="00E47180"/>
    <w:rsid w:val="00E5170A"/>
    <w:rsid w:val="00E53EBA"/>
    <w:rsid w:val="00E54A4A"/>
    <w:rsid w:val="00E5627C"/>
    <w:rsid w:val="00E57CC1"/>
    <w:rsid w:val="00E613E0"/>
    <w:rsid w:val="00E623E5"/>
    <w:rsid w:val="00E62919"/>
    <w:rsid w:val="00E660A9"/>
    <w:rsid w:val="00E666C3"/>
    <w:rsid w:val="00E66DCA"/>
    <w:rsid w:val="00E72130"/>
    <w:rsid w:val="00E72D96"/>
    <w:rsid w:val="00E7551A"/>
    <w:rsid w:val="00E7747B"/>
    <w:rsid w:val="00E775FC"/>
    <w:rsid w:val="00E77CC6"/>
    <w:rsid w:val="00E81B46"/>
    <w:rsid w:val="00E82833"/>
    <w:rsid w:val="00E84B62"/>
    <w:rsid w:val="00E86ABF"/>
    <w:rsid w:val="00E87BAA"/>
    <w:rsid w:val="00E90968"/>
    <w:rsid w:val="00E910D5"/>
    <w:rsid w:val="00E92411"/>
    <w:rsid w:val="00E93E46"/>
    <w:rsid w:val="00EA4B67"/>
    <w:rsid w:val="00EA700B"/>
    <w:rsid w:val="00EB0573"/>
    <w:rsid w:val="00EB1C7F"/>
    <w:rsid w:val="00EB240B"/>
    <w:rsid w:val="00EB4235"/>
    <w:rsid w:val="00EB5D8F"/>
    <w:rsid w:val="00EB6EAD"/>
    <w:rsid w:val="00EB7B49"/>
    <w:rsid w:val="00EC0D2D"/>
    <w:rsid w:val="00EC112C"/>
    <w:rsid w:val="00EC151B"/>
    <w:rsid w:val="00EC4279"/>
    <w:rsid w:val="00ED2FC9"/>
    <w:rsid w:val="00ED3EBF"/>
    <w:rsid w:val="00ED505B"/>
    <w:rsid w:val="00ED59E4"/>
    <w:rsid w:val="00EE1849"/>
    <w:rsid w:val="00EE7893"/>
    <w:rsid w:val="00EF292D"/>
    <w:rsid w:val="00EF487C"/>
    <w:rsid w:val="00F00593"/>
    <w:rsid w:val="00F05C04"/>
    <w:rsid w:val="00F05F31"/>
    <w:rsid w:val="00F062AD"/>
    <w:rsid w:val="00F06468"/>
    <w:rsid w:val="00F1163F"/>
    <w:rsid w:val="00F13CBD"/>
    <w:rsid w:val="00F13D0E"/>
    <w:rsid w:val="00F1575F"/>
    <w:rsid w:val="00F15D59"/>
    <w:rsid w:val="00F23482"/>
    <w:rsid w:val="00F23F09"/>
    <w:rsid w:val="00F2765C"/>
    <w:rsid w:val="00F32917"/>
    <w:rsid w:val="00F37B8D"/>
    <w:rsid w:val="00F40600"/>
    <w:rsid w:val="00F416CC"/>
    <w:rsid w:val="00F42F0B"/>
    <w:rsid w:val="00F44DE0"/>
    <w:rsid w:val="00F452B2"/>
    <w:rsid w:val="00F51ACD"/>
    <w:rsid w:val="00F5388C"/>
    <w:rsid w:val="00F55B7C"/>
    <w:rsid w:val="00F5648F"/>
    <w:rsid w:val="00F56B2B"/>
    <w:rsid w:val="00F61269"/>
    <w:rsid w:val="00F616AE"/>
    <w:rsid w:val="00F61E02"/>
    <w:rsid w:val="00F62785"/>
    <w:rsid w:val="00F63445"/>
    <w:rsid w:val="00F636DE"/>
    <w:rsid w:val="00F66F5C"/>
    <w:rsid w:val="00F73B70"/>
    <w:rsid w:val="00F751B5"/>
    <w:rsid w:val="00F763AA"/>
    <w:rsid w:val="00F778BF"/>
    <w:rsid w:val="00F81BFF"/>
    <w:rsid w:val="00F84A47"/>
    <w:rsid w:val="00F85BE5"/>
    <w:rsid w:val="00F906B2"/>
    <w:rsid w:val="00F906F1"/>
    <w:rsid w:val="00F90701"/>
    <w:rsid w:val="00F94206"/>
    <w:rsid w:val="00F94CFA"/>
    <w:rsid w:val="00F952F5"/>
    <w:rsid w:val="00F961BD"/>
    <w:rsid w:val="00FA0DFE"/>
    <w:rsid w:val="00FA11CD"/>
    <w:rsid w:val="00FA52EE"/>
    <w:rsid w:val="00FA6A80"/>
    <w:rsid w:val="00FA7C8F"/>
    <w:rsid w:val="00FB022D"/>
    <w:rsid w:val="00FB17A3"/>
    <w:rsid w:val="00FB29BB"/>
    <w:rsid w:val="00FB31E1"/>
    <w:rsid w:val="00FB33FF"/>
    <w:rsid w:val="00FB4BC0"/>
    <w:rsid w:val="00FB5C6E"/>
    <w:rsid w:val="00FB5F37"/>
    <w:rsid w:val="00FC4B8B"/>
    <w:rsid w:val="00FC4C96"/>
    <w:rsid w:val="00FC5A66"/>
    <w:rsid w:val="00FD1406"/>
    <w:rsid w:val="00FD26F3"/>
    <w:rsid w:val="00FD45D4"/>
    <w:rsid w:val="00FD5E12"/>
    <w:rsid w:val="00FD6525"/>
    <w:rsid w:val="00FD776D"/>
    <w:rsid w:val="00FE06C9"/>
    <w:rsid w:val="00FE22A2"/>
    <w:rsid w:val="00FE3556"/>
    <w:rsid w:val="00FE399C"/>
    <w:rsid w:val="00FE52CE"/>
    <w:rsid w:val="00FE5D88"/>
    <w:rsid w:val="00FE6B28"/>
    <w:rsid w:val="00FF03AA"/>
    <w:rsid w:val="00FF092B"/>
    <w:rsid w:val="00FF2111"/>
    <w:rsid w:val="00FF3883"/>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DEED45"/>
  <w15:chartTrackingRefBased/>
  <w15:docId w15:val="{85B26A3F-D84A-4CFE-A91F-3C3A5E70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0A"/>
  </w:style>
  <w:style w:type="paragraph" w:styleId="Heading1">
    <w:name w:val="heading 1"/>
    <w:basedOn w:val="Normal"/>
    <w:next w:val="Normal"/>
    <w:link w:val="Heading1Char"/>
    <w:uiPriority w:val="9"/>
    <w:qFormat/>
    <w:rsid w:val="004F54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E2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D3E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3C"/>
  </w:style>
  <w:style w:type="paragraph" w:styleId="Footer">
    <w:name w:val="footer"/>
    <w:basedOn w:val="Normal"/>
    <w:link w:val="FooterChar"/>
    <w:uiPriority w:val="99"/>
    <w:unhideWhenUsed/>
    <w:rsid w:val="0095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3C"/>
  </w:style>
  <w:style w:type="character" w:styleId="PlaceholderText">
    <w:name w:val="Placeholder Text"/>
    <w:basedOn w:val="DefaultParagraphFont"/>
    <w:uiPriority w:val="99"/>
    <w:semiHidden/>
    <w:rsid w:val="0095593C"/>
    <w:rPr>
      <w:color w:val="808080"/>
    </w:rPr>
  </w:style>
  <w:style w:type="paragraph" w:styleId="ListParagraph">
    <w:name w:val="List Paragraph"/>
    <w:basedOn w:val="Normal"/>
    <w:uiPriority w:val="34"/>
    <w:qFormat/>
    <w:rsid w:val="005B54A9"/>
    <w:pPr>
      <w:ind w:left="720"/>
      <w:contextualSpacing/>
    </w:pPr>
  </w:style>
  <w:style w:type="character" w:styleId="CommentReference">
    <w:name w:val="annotation reference"/>
    <w:basedOn w:val="DefaultParagraphFont"/>
    <w:uiPriority w:val="99"/>
    <w:semiHidden/>
    <w:unhideWhenUsed/>
    <w:rsid w:val="008104CD"/>
    <w:rPr>
      <w:sz w:val="16"/>
      <w:szCs w:val="16"/>
    </w:rPr>
  </w:style>
  <w:style w:type="paragraph" w:styleId="CommentText">
    <w:name w:val="annotation text"/>
    <w:basedOn w:val="Normal"/>
    <w:link w:val="CommentTextChar"/>
    <w:uiPriority w:val="99"/>
    <w:semiHidden/>
    <w:unhideWhenUsed/>
    <w:rsid w:val="008104CD"/>
    <w:pPr>
      <w:spacing w:line="240" w:lineRule="auto"/>
    </w:pPr>
    <w:rPr>
      <w:sz w:val="20"/>
      <w:szCs w:val="20"/>
    </w:rPr>
  </w:style>
  <w:style w:type="character" w:customStyle="1" w:styleId="CommentTextChar">
    <w:name w:val="Comment Text Char"/>
    <w:basedOn w:val="DefaultParagraphFont"/>
    <w:link w:val="CommentText"/>
    <w:uiPriority w:val="99"/>
    <w:semiHidden/>
    <w:rsid w:val="008104CD"/>
    <w:rPr>
      <w:sz w:val="20"/>
      <w:szCs w:val="20"/>
    </w:rPr>
  </w:style>
  <w:style w:type="paragraph" w:styleId="CommentSubject">
    <w:name w:val="annotation subject"/>
    <w:basedOn w:val="CommentText"/>
    <w:next w:val="CommentText"/>
    <w:link w:val="CommentSubjectChar"/>
    <w:uiPriority w:val="99"/>
    <w:semiHidden/>
    <w:unhideWhenUsed/>
    <w:rsid w:val="008104CD"/>
    <w:rPr>
      <w:b/>
      <w:bCs/>
    </w:rPr>
  </w:style>
  <w:style w:type="character" w:customStyle="1" w:styleId="CommentSubjectChar">
    <w:name w:val="Comment Subject Char"/>
    <w:basedOn w:val="CommentTextChar"/>
    <w:link w:val="CommentSubject"/>
    <w:uiPriority w:val="99"/>
    <w:semiHidden/>
    <w:rsid w:val="008104CD"/>
    <w:rPr>
      <w:b/>
      <w:bCs/>
      <w:sz w:val="20"/>
      <w:szCs w:val="20"/>
    </w:rPr>
  </w:style>
  <w:style w:type="character" w:customStyle="1" w:styleId="Heading2Char">
    <w:name w:val="Heading 2 Char"/>
    <w:basedOn w:val="DefaultParagraphFont"/>
    <w:link w:val="Heading2"/>
    <w:uiPriority w:val="9"/>
    <w:rsid w:val="008E25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81B46"/>
    <w:rPr>
      <w:strike w:val="0"/>
      <w:dstrike w:val="0"/>
      <w:color w:val="3399FF"/>
      <w:u w:val="none"/>
      <w:effect w:val="none"/>
    </w:rPr>
  </w:style>
  <w:style w:type="character" w:styleId="FollowedHyperlink">
    <w:name w:val="FollowedHyperlink"/>
    <w:basedOn w:val="DefaultParagraphFont"/>
    <w:uiPriority w:val="99"/>
    <w:semiHidden/>
    <w:unhideWhenUsed/>
    <w:rsid w:val="00AF1469"/>
    <w:rPr>
      <w:color w:val="954F72" w:themeColor="followedHyperlink"/>
      <w:u w:val="single"/>
    </w:rPr>
  </w:style>
  <w:style w:type="character" w:customStyle="1" w:styleId="Heading3Char">
    <w:name w:val="Heading 3 Char"/>
    <w:basedOn w:val="DefaultParagraphFont"/>
    <w:link w:val="Heading3"/>
    <w:uiPriority w:val="9"/>
    <w:semiHidden/>
    <w:rsid w:val="00ED3EBF"/>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2E7D44"/>
    <w:rPr>
      <w:color w:val="605E5C"/>
      <w:shd w:val="clear" w:color="auto" w:fill="E1DFDD"/>
    </w:rPr>
  </w:style>
  <w:style w:type="paragraph" w:customStyle="1" w:styleId="section">
    <w:name w:val="section"/>
    <w:basedOn w:val="Normal"/>
    <w:rsid w:val="00E84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E84B62"/>
  </w:style>
  <w:style w:type="paragraph" w:customStyle="1" w:styleId="subsec">
    <w:name w:val="subsec"/>
    <w:basedOn w:val="Normal"/>
    <w:rsid w:val="00E84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84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2D3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
    <w:name w:val="clause"/>
    <w:basedOn w:val="Normal"/>
    <w:rsid w:val="002D3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5432"/>
    <w:rPr>
      <w:rFonts w:asciiTheme="majorHAnsi" w:eastAsiaTheme="majorEastAsia" w:hAnsiTheme="majorHAnsi" w:cstheme="majorBidi"/>
      <w:color w:val="2E74B5" w:themeColor="accent1" w:themeShade="BF"/>
      <w:sz w:val="32"/>
      <w:szCs w:val="32"/>
    </w:rPr>
  </w:style>
  <w:style w:type="character" w:customStyle="1" w:styleId="enumxml">
    <w:name w:val="enumxml"/>
    <w:basedOn w:val="DefaultParagraphFont"/>
    <w:rsid w:val="003B3075"/>
  </w:style>
  <w:style w:type="character" w:customStyle="1" w:styleId="paragraph-hierarchy">
    <w:name w:val="paragraph-hierarchy"/>
    <w:basedOn w:val="DefaultParagraphFont"/>
    <w:rsid w:val="00A9439F"/>
  </w:style>
  <w:style w:type="character" w:customStyle="1" w:styleId="paren">
    <w:name w:val="paren"/>
    <w:basedOn w:val="DefaultParagraphFont"/>
    <w:rsid w:val="00A9439F"/>
  </w:style>
  <w:style w:type="paragraph" w:styleId="NormalWeb">
    <w:name w:val="Normal (Web)"/>
    <w:basedOn w:val="Normal"/>
    <w:uiPriority w:val="99"/>
    <w:semiHidden/>
    <w:unhideWhenUsed/>
    <w:rsid w:val="006A7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A7EDA"/>
    <w:rPr>
      <w:rFonts w:ascii="Segoe UI" w:hAnsi="Segoe UI" w:cs="Segoe UI" w:hint="default"/>
      <w:sz w:val="18"/>
      <w:szCs w:val="18"/>
    </w:rPr>
  </w:style>
  <w:style w:type="paragraph" w:customStyle="1" w:styleId="indent-1">
    <w:name w:val="indent-1"/>
    <w:basedOn w:val="Normal"/>
    <w:rsid w:val="00105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05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105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627">
      <w:bodyDiv w:val="1"/>
      <w:marLeft w:val="0"/>
      <w:marRight w:val="0"/>
      <w:marTop w:val="0"/>
      <w:marBottom w:val="0"/>
      <w:divBdr>
        <w:top w:val="none" w:sz="0" w:space="0" w:color="auto"/>
        <w:left w:val="none" w:sz="0" w:space="0" w:color="auto"/>
        <w:bottom w:val="none" w:sz="0" w:space="0" w:color="auto"/>
        <w:right w:val="none" w:sz="0" w:space="0" w:color="auto"/>
      </w:divBdr>
    </w:div>
    <w:div w:id="285309371">
      <w:bodyDiv w:val="1"/>
      <w:marLeft w:val="0"/>
      <w:marRight w:val="0"/>
      <w:marTop w:val="0"/>
      <w:marBottom w:val="0"/>
      <w:divBdr>
        <w:top w:val="none" w:sz="0" w:space="0" w:color="auto"/>
        <w:left w:val="none" w:sz="0" w:space="0" w:color="auto"/>
        <w:bottom w:val="none" w:sz="0" w:space="0" w:color="auto"/>
        <w:right w:val="none" w:sz="0" w:space="0" w:color="auto"/>
      </w:divBdr>
    </w:div>
    <w:div w:id="297810114">
      <w:bodyDiv w:val="1"/>
      <w:marLeft w:val="0"/>
      <w:marRight w:val="0"/>
      <w:marTop w:val="0"/>
      <w:marBottom w:val="0"/>
      <w:divBdr>
        <w:top w:val="none" w:sz="0" w:space="0" w:color="auto"/>
        <w:left w:val="none" w:sz="0" w:space="0" w:color="auto"/>
        <w:bottom w:val="none" w:sz="0" w:space="0" w:color="auto"/>
        <w:right w:val="none" w:sz="0" w:space="0" w:color="auto"/>
      </w:divBdr>
    </w:div>
    <w:div w:id="305595890">
      <w:bodyDiv w:val="1"/>
      <w:marLeft w:val="0"/>
      <w:marRight w:val="0"/>
      <w:marTop w:val="0"/>
      <w:marBottom w:val="0"/>
      <w:divBdr>
        <w:top w:val="none" w:sz="0" w:space="0" w:color="auto"/>
        <w:left w:val="none" w:sz="0" w:space="0" w:color="auto"/>
        <w:bottom w:val="none" w:sz="0" w:space="0" w:color="auto"/>
        <w:right w:val="none" w:sz="0" w:space="0" w:color="auto"/>
      </w:divBdr>
    </w:div>
    <w:div w:id="490604751">
      <w:bodyDiv w:val="1"/>
      <w:marLeft w:val="0"/>
      <w:marRight w:val="0"/>
      <w:marTop w:val="0"/>
      <w:marBottom w:val="0"/>
      <w:divBdr>
        <w:top w:val="none" w:sz="0" w:space="0" w:color="auto"/>
        <w:left w:val="none" w:sz="0" w:space="0" w:color="auto"/>
        <w:bottom w:val="none" w:sz="0" w:space="0" w:color="auto"/>
        <w:right w:val="none" w:sz="0" w:space="0" w:color="auto"/>
      </w:divBdr>
    </w:div>
    <w:div w:id="577787468">
      <w:bodyDiv w:val="1"/>
      <w:marLeft w:val="0"/>
      <w:marRight w:val="0"/>
      <w:marTop w:val="0"/>
      <w:marBottom w:val="0"/>
      <w:divBdr>
        <w:top w:val="none" w:sz="0" w:space="0" w:color="auto"/>
        <w:left w:val="none" w:sz="0" w:space="0" w:color="auto"/>
        <w:bottom w:val="none" w:sz="0" w:space="0" w:color="auto"/>
        <w:right w:val="none" w:sz="0" w:space="0" w:color="auto"/>
      </w:divBdr>
    </w:div>
    <w:div w:id="651374498">
      <w:bodyDiv w:val="1"/>
      <w:marLeft w:val="0"/>
      <w:marRight w:val="0"/>
      <w:marTop w:val="0"/>
      <w:marBottom w:val="0"/>
      <w:divBdr>
        <w:top w:val="none" w:sz="0" w:space="0" w:color="auto"/>
        <w:left w:val="none" w:sz="0" w:space="0" w:color="auto"/>
        <w:bottom w:val="none" w:sz="0" w:space="0" w:color="auto"/>
        <w:right w:val="none" w:sz="0" w:space="0" w:color="auto"/>
      </w:divBdr>
      <w:divsChild>
        <w:div w:id="839084791">
          <w:marLeft w:val="0"/>
          <w:marRight w:val="0"/>
          <w:marTop w:val="0"/>
          <w:marBottom w:val="0"/>
          <w:divBdr>
            <w:top w:val="none" w:sz="0" w:space="0" w:color="auto"/>
            <w:left w:val="none" w:sz="0" w:space="0" w:color="auto"/>
            <w:bottom w:val="none" w:sz="0" w:space="0" w:color="auto"/>
            <w:right w:val="none" w:sz="0" w:space="0" w:color="auto"/>
          </w:divBdr>
          <w:divsChild>
            <w:div w:id="413673940">
              <w:marLeft w:val="0"/>
              <w:marRight w:val="0"/>
              <w:marTop w:val="0"/>
              <w:marBottom w:val="0"/>
              <w:divBdr>
                <w:top w:val="none" w:sz="0" w:space="0" w:color="auto"/>
                <w:left w:val="none" w:sz="0" w:space="0" w:color="auto"/>
                <w:bottom w:val="none" w:sz="0" w:space="0" w:color="auto"/>
                <w:right w:val="none" w:sz="0" w:space="0" w:color="auto"/>
              </w:divBdr>
              <w:divsChild>
                <w:div w:id="794447040">
                  <w:marLeft w:val="0"/>
                  <w:marRight w:val="0"/>
                  <w:marTop w:val="0"/>
                  <w:marBottom w:val="0"/>
                  <w:divBdr>
                    <w:top w:val="none" w:sz="0" w:space="0" w:color="auto"/>
                    <w:left w:val="none" w:sz="0" w:space="0" w:color="auto"/>
                    <w:bottom w:val="none" w:sz="0" w:space="0" w:color="auto"/>
                    <w:right w:val="none" w:sz="0" w:space="0" w:color="auto"/>
                  </w:divBdr>
                </w:div>
                <w:div w:id="85270064">
                  <w:marLeft w:val="0"/>
                  <w:marRight w:val="0"/>
                  <w:marTop w:val="0"/>
                  <w:marBottom w:val="0"/>
                  <w:divBdr>
                    <w:top w:val="none" w:sz="0" w:space="0" w:color="auto"/>
                    <w:left w:val="none" w:sz="0" w:space="0" w:color="auto"/>
                    <w:bottom w:val="none" w:sz="0" w:space="0" w:color="auto"/>
                    <w:right w:val="none" w:sz="0" w:space="0" w:color="auto"/>
                  </w:divBdr>
                </w:div>
                <w:div w:id="808474498">
                  <w:marLeft w:val="0"/>
                  <w:marRight w:val="0"/>
                  <w:marTop w:val="0"/>
                  <w:marBottom w:val="0"/>
                  <w:divBdr>
                    <w:top w:val="none" w:sz="0" w:space="0" w:color="auto"/>
                    <w:left w:val="none" w:sz="0" w:space="0" w:color="auto"/>
                    <w:bottom w:val="none" w:sz="0" w:space="0" w:color="auto"/>
                    <w:right w:val="none" w:sz="0" w:space="0" w:color="auto"/>
                  </w:divBdr>
                </w:div>
                <w:div w:id="671297742">
                  <w:marLeft w:val="0"/>
                  <w:marRight w:val="0"/>
                  <w:marTop w:val="0"/>
                  <w:marBottom w:val="0"/>
                  <w:divBdr>
                    <w:top w:val="none" w:sz="0" w:space="0" w:color="auto"/>
                    <w:left w:val="none" w:sz="0" w:space="0" w:color="auto"/>
                    <w:bottom w:val="none" w:sz="0" w:space="0" w:color="auto"/>
                    <w:right w:val="none" w:sz="0" w:space="0" w:color="auto"/>
                  </w:divBdr>
                </w:div>
                <w:div w:id="1759787406">
                  <w:marLeft w:val="0"/>
                  <w:marRight w:val="0"/>
                  <w:marTop w:val="0"/>
                  <w:marBottom w:val="0"/>
                  <w:divBdr>
                    <w:top w:val="none" w:sz="0" w:space="0" w:color="auto"/>
                    <w:left w:val="none" w:sz="0" w:space="0" w:color="auto"/>
                    <w:bottom w:val="none" w:sz="0" w:space="0" w:color="auto"/>
                    <w:right w:val="none" w:sz="0" w:space="0" w:color="auto"/>
                  </w:divBdr>
                </w:div>
              </w:divsChild>
            </w:div>
            <w:div w:id="1495149384">
              <w:marLeft w:val="0"/>
              <w:marRight w:val="0"/>
              <w:marTop w:val="0"/>
              <w:marBottom w:val="0"/>
              <w:divBdr>
                <w:top w:val="none" w:sz="0" w:space="0" w:color="auto"/>
                <w:left w:val="none" w:sz="0" w:space="0" w:color="auto"/>
                <w:bottom w:val="none" w:sz="0" w:space="0" w:color="auto"/>
                <w:right w:val="none" w:sz="0" w:space="0" w:color="auto"/>
              </w:divBdr>
              <w:divsChild>
                <w:div w:id="1319533401">
                  <w:marLeft w:val="0"/>
                  <w:marRight w:val="0"/>
                  <w:marTop w:val="0"/>
                  <w:marBottom w:val="0"/>
                  <w:divBdr>
                    <w:top w:val="none" w:sz="0" w:space="0" w:color="auto"/>
                    <w:left w:val="none" w:sz="0" w:space="0" w:color="auto"/>
                    <w:bottom w:val="none" w:sz="0" w:space="0" w:color="auto"/>
                    <w:right w:val="none" w:sz="0" w:space="0" w:color="auto"/>
                  </w:divBdr>
                </w:div>
                <w:div w:id="933972222">
                  <w:marLeft w:val="0"/>
                  <w:marRight w:val="0"/>
                  <w:marTop w:val="0"/>
                  <w:marBottom w:val="0"/>
                  <w:divBdr>
                    <w:top w:val="none" w:sz="0" w:space="0" w:color="auto"/>
                    <w:left w:val="none" w:sz="0" w:space="0" w:color="auto"/>
                    <w:bottom w:val="none" w:sz="0" w:space="0" w:color="auto"/>
                    <w:right w:val="none" w:sz="0" w:space="0" w:color="auto"/>
                  </w:divBdr>
                </w:div>
                <w:div w:id="1145858567">
                  <w:marLeft w:val="0"/>
                  <w:marRight w:val="0"/>
                  <w:marTop w:val="0"/>
                  <w:marBottom w:val="0"/>
                  <w:divBdr>
                    <w:top w:val="none" w:sz="0" w:space="0" w:color="auto"/>
                    <w:left w:val="none" w:sz="0" w:space="0" w:color="auto"/>
                    <w:bottom w:val="none" w:sz="0" w:space="0" w:color="auto"/>
                    <w:right w:val="none" w:sz="0" w:space="0" w:color="auto"/>
                  </w:divBdr>
                </w:div>
                <w:div w:id="1116602961">
                  <w:marLeft w:val="0"/>
                  <w:marRight w:val="0"/>
                  <w:marTop w:val="0"/>
                  <w:marBottom w:val="0"/>
                  <w:divBdr>
                    <w:top w:val="none" w:sz="0" w:space="0" w:color="auto"/>
                    <w:left w:val="none" w:sz="0" w:space="0" w:color="auto"/>
                    <w:bottom w:val="none" w:sz="0" w:space="0" w:color="auto"/>
                    <w:right w:val="none" w:sz="0" w:space="0" w:color="auto"/>
                  </w:divBdr>
                </w:div>
              </w:divsChild>
            </w:div>
            <w:div w:id="1225264858">
              <w:marLeft w:val="0"/>
              <w:marRight w:val="0"/>
              <w:marTop w:val="0"/>
              <w:marBottom w:val="0"/>
              <w:divBdr>
                <w:top w:val="none" w:sz="0" w:space="0" w:color="auto"/>
                <w:left w:val="none" w:sz="0" w:space="0" w:color="auto"/>
                <w:bottom w:val="none" w:sz="0" w:space="0" w:color="auto"/>
                <w:right w:val="none" w:sz="0" w:space="0" w:color="auto"/>
              </w:divBdr>
              <w:divsChild>
                <w:div w:id="272591820">
                  <w:marLeft w:val="0"/>
                  <w:marRight w:val="0"/>
                  <w:marTop w:val="0"/>
                  <w:marBottom w:val="0"/>
                  <w:divBdr>
                    <w:top w:val="none" w:sz="0" w:space="0" w:color="auto"/>
                    <w:left w:val="none" w:sz="0" w:space="0" w:color="auto"/>
                    <w:bottom w:val="none" w:sz="0" w:space="0" w:color="auto"/>
                    <w:right w:val="none" w:sz="0" w:space="0" w:color="auto"/>
                  </w:divBdr>
                </w:div>
                <w:div w:id="1136989177">
                  <w:marLeft w:val="0"/>
                  <w:marRight w:val="0"/>
                  <w:marTop w:val="0"/>
                  <w:marBottom w:val="0"/>
                  <w:divBdr>
                    <w:top w:val="none" w:sz="0" w:space="0" w:color="auto"/>
                    <w:left w:val="none" w:sz="0" w:space="0" w:color="auto"/>
                    <w:bottom w:val="none" w:sz="0" w:space="0" w:color="auto"/>
                    <w:right w:val="none" w:sz="0" w:space="0" w:color="auto"/>
                  </w:divBdr>
                  <w:divsChild>
                    <w:div w:id="127938446">
                      <w:marLeft w:val="0"/>
                      <w:marRight w:val="0"/>
                      <w:marTop w:val="0"/>
                      <w:marBottom w:val="0"/>
                      <w:divBdr>
                        <w:top w:val="none" w:sz="0" w:space="0" w:color="auto"/>
                        <w:left w:val="none" w:sz="0" w:space="0" w:color="auto"/>
                        <w:bottom w:val="none" w:sz="0" w:space="0" w:color="auto"/>
                        <w:right w:val="none" w:sz="0" w:space="0" w:color="auto"/>
                      </w:divBdr>
                    </w:div>
                    <w:div w:id="2006929746">
                      <w:marLeft w:val="0"/>
                      <w:marRight w:val="0"/>
                      <w:marTop w:val="0"/>
                      <w:marBottom w:val="0"/>
                      <w:divBdr>
                        <w:top w:val="none" w:sz="0" w:space="0" w:color="auto"/>
                        <w:left w:val="none" w:sz="0" w:space="0" w:color="auto"/>
                        <w:bottom w:val="none" w:sz="0" w:space="0" w:color="auto"/>
                        <w:right w:val="none" w:sz="0" w:space="0" w:color="auto"/>
                      </w:divBdr>
                    </w:div>
                    <w:div w:id="1633444509">
                      <w:marLeft w:val="0"/>
                      <w:marRight w:val="0"/>
                      <w:marTop w:val="0"/>
                      <w:marBottom w:val="0"/>
                      <w:divBdr>
                        <w:top w:val="none" w:sz="0" w:space="0" w:color="auto"/>
                        <w:left w:val="none" w:sz="0" w:space="0" w:color="auto"/>
                        <w:bottom w:val="none" w:sz="0" w:space="0" w:color="auto"/>
                        <w:right w:val="none" w:sz="0" w:space="0" w:color="auto"/>
                      </w:divBdr>
                    </w:div>
                    <w:div w:id="1202862528">
                      <w:marLeft w:val="0"/>
                      <w:marRight w:val="0"/>
                      <w:marTop w:val="0"/>
                      <w:marBottom w:val="0"/>
                      <w:divBdr>
                        <w:top w:val="none" w:sz="0" w:space="0" w:color="auto"/>
                        <w:left w:val="none" w:sz="0" w:space="0" w:color="auto"/>
                        <w:bottom w:val="none" w:sz="0" w:space="0" w:color="auto"/>
                        <w:right w:val="none" w:sz="0" w:space="0" w:color="auto"/>
                      </w:divBdr>
                    </w:div>
                    <w:div w:id="332680946">
                      <w:marLeft w:val="0"/>
                      <w:marRight w:val="0"/>
                      <w:marTop w:val="0"/>
                      <w:marBottom w:val="0"/>
                      <w:divBdr>
                        <w:top w:val="none" w:sz="0" w:space="0" w:color="auto"/>
                        <w:left w:val="none" w:sz="0" w:space="0" w:color="auto"/>
                        <w:bottom w:val="none" w:sz="0" w:space="0" w:color="auto"/>
                        <w:right w:val="none" w:sz="0" w:space="0" w:color="auto"/>
                      </w:divBdr>
                    </w:div>
                  </w:divsChild>
                </w:div>
                <w:div w:id="269431207">
                  <w:marLeft w:val="0"/>
                  <w:marRight w:val="0"/>
                  <w:marTop w:val="0"/>
                  <w:marBottom w:val="0"/>
                  <w:divBdr>
                    <w:top w:val="none" w:sz="0" w:space="0" w:color="auto"/>
                    <w:left w:val="none" w:sz="0" w:space="0" w:color="auto"/>
                    <w:bottom w:val="none" w:sz="0" w:space="0" w:color="auto"/>
                    <w:right w:val="none" w:sz="0" w:space="0" w:color="auto"/>
                  </w:divBdr>
                  <w:divsChild>
                    <w:div w:id="1425957915">
                      <w:marLeft w:val="0"/>
                      <w:marRight w:val="0"/>
                      <w:marTop w:val="0"/>
                      <w:marBottom w:val="0"/>
                      <w:divBdr>
                        <w:top w:val="none" w:sz="0" w:space="0" w:color="auto"/>
                        <w:left w:val="none" w:sz="0" w:space="0" w:color="auto"/>
                        <w:bottom w:val="none" w:sz="0" w:space="0" w:color="auto"/>
                        <w:right w:val="none" w:sz="0" w:space="0" w:color="auto"/>
                      </w:divBdr>
                    </w:div>
                    <w:div w:id="238832222">
                      <w:marLeft w:val="0"/>
                      <w:marRight w:val="0"/>
                      <w:marTop w:val="0"/>
                      <w:marBottom w:val="0"/>
                      <w:divBdr>
                        <w:top w:val="none" w:sz="0" w:space="0" w:color="auto"/>
                        <w:left w:val="none" w:sz="0" w:space="0" w:color="auto"/>
                        <w:bottom w:val="none" w:sz="0" w:space="0" w:color="auto"/>
                        <w:right w:val="none" w:sz="0" w:space="0" w:color="auto"/>
                      </w:divBdr>
                    </w:div>
                    <w:div w:id="443042358">
                      <w:marLeft w:val="0"/>
                      <w:marRight w:val="0"/>
                      <w:marTop w:val="0"/>
                      <w:marBottom w:val="0"/>
                      <w:divBdr>
                        <w:top w:val="none" w:sz="0" w:space="0" w:color="auto"/>
                        <w:left w:val="none" w:sz="0" w:space="0" w:color="auto"/>
                        <w:bottom w:val="none" w:sz="0" w:space="0" w:color="auto"/>
                        <w:right w:val="none" w:sz="0" w:space="0" w:color="auto"/>
                      </w:divBdr>
                    </w:div>
                  </w:divsChild>
                </w:div>
                <w:div w:id="1996184575">
                  <w:marLeft w:val="0"/>
                  <w:marRight w:val="0"/>
                  <w:marTop w:val="0"/>
                  <w:marBottom w:val="0"/>
                  <w:divBdr>
                    <w:top w:val="none" w:sz="0" w:space="0" w:color="auto"/>
                    <w:left w:val="none" w:sz="0" w:space="0" w:color="auto"/>
                    <w:bottom w:val="none" w:sz="0" w:space="0" w:color="auto"/>
                    <w:right w:val="none" w:sz="0" w:space="0" w:color="auto"/>
                  </w:divBdr>
                </w:div>
                <w:div w:id="1618298036">
                  <w:marLeft w:val="0"/>
                  <w:marRight w:val="0"/>
                  <w:marTop w:val="0"/>
                  <w:marBottom w:val="0"/>
                  <w:divBdr>
                    <w:top w:val="none" w:sz="0" w:space="0" w:color="auto"/>
                    <w:left w:val="none" w:sz="0" w:space="0" w:color="auto"/>
                    <w:bottom w:val="none" w:sz="0" w:space="0" w:color="auto"/>
                    <w:right w:val="none" w:sz="0" w:space="0" w:color="auto"/>
                  </w:divBdr>
                </w:div>
              </w:divsChild>
            </w:div>
            <w:div w:id="1253464530">
              <w:marLeft w:val="0"/>
              <w:marRight w:val="0"/>
              <w:marTop w:val="0"/>
              <w:marBottom w:val="0"/>
              <w:divBdr>
                <w:top w:val="none" w:sz="0" w:space="0" w:color="auto"/>
                <w:left w:val="none" w:sz="0" w:space="0" w:color="auto"/>
                <w:bottom w:val="none" w:sz="0" w:space="0" w:color="auto"/>
                <w:right w:val="none" w:sz="0" w:space="0" w:color="auto"/>
              </w:divBdr>
            </w:div>
            <w:div w:id="519245250">
              <w:marLeft w:val="0"/>
              <w:marRight w:val="0"/>
              <w:marTop w:val="0"/>
              <w:marBottom w:val="0"/>
              <w:divBdr>
                <w:top w:val="none" w:sz="0" w:space="0" w:color="auto"/>
                <w:left w:val="none" w:sz="0" w:space="0" w:color="auto"/>
                <w:bottom w:val="none" w:sz="0" w:space="0" w:color="auto"/>
                <w:right w:val="none" w:sz="0" w:space="0" w:color="auto"/>
              </w:divBdr>
              <w:divsChild>
                <w:div w:id="2128037471">
                  <w:marLeft w:val="0"/>
                  <w:marRight w:val="0"/>
                  <w:marTop w:val="0"/>
                  <w:marBottom w:val="0"/>
                  <w:divBdr>
                    <w:top w:val="none" w:sz="0" w:space="0" w:color="auto"/>
                    <w:left w:val="none" w:sz="0" w:space="0" w:color="auto"/>
                    <w:bottom w:val="none" w:sz="0" w:space="0" w:color="auto"/>
                    <w:right w:val="none" w:sz="0" w:space="0" w:color="auto"/>
                  </w:divBdr>
                </w:div>
                <w:div w:id="906770150">
                  <w:marLeft w:val="0"/>
                  <w:marRight w:val="0"/>
                  <w:marTop w:val="0"/>
                  <w:marBottom w:val="0"/>
                  <w:divBdr>
                    <w:top w:val="none" w:sz="0" w:space="0" w:color="auto"/>
                    <w:left w:val="none" w:sz="0" w:space="0" w:color="auto"/>
                    <w:bottom w:val="none" w:sz="0" w:space="0" w:color="auto"/>
                    <w:right w:val="none" w:sz="0" w:space="0" w:color="auto"/>
                  </w:divBdr>
                </w:div>
              </w:divsChild>
            </w:div>
            <w:div w:id="927350755">
              <w:marLeft w:val="0"/>
              <w:marRight w:val="0"/>
              <w:marTop w:val="0"/>
              <w:marBottom w:val="0"/>
              <w:divBdr>
                <w:top w:val="none" w:sz="0" w:space="0" w:color="auto"/>
                <w:left w:val="none" w:sz="0" w:space="0" w:color="auto"/>
                <w:bottom w:val="none" w:sz="0" w:space="0" w:color="auto"/>
                <w:right w:val="none" w:sz="0" w:space="0" w:color="auto"/>
              </w:divBdr>
              <w:divsChild>
                <w:div w:id="1599556029">
                  <w:marLeft w:val="0"/>
                  <w:marRight w:val="0"/>
                  <w:marTop w:val="0"/>
                  <w:marBottom w:val="0"/>
                  <w:divBdr>
                    <w:top w:val="none" w:sz="0" w:space="0" w:color="auto"/>
                    <w:left w:val="none" w:sz="0" w:space="0" w:color="auto"/>
                    <w:bottom w:val="none" w:sz="0" w:space="0" w:color="auto"/>
                    <w:right w:val="none" w:sz="0" w:space="0" w:color="auto"/>
                  </w:divBdr>
                </w:div>
                <w:div w:id="1867132535">
                  <w:marLeft w:val="0"/>
                  <w:marRight w:val="0"/>
                  <w:marTop w:val="0"/>
                  <w:marBottom w:val="0"/>
                  <w:divBdr>
                    <w:top w:val="none" w:sz="0" w:space="0" w:color="auto"/>
                    <w:left w:val="none" w:sz="0" w:space="0" w:color="auto"/>
                    <w:bottom w:val="none" w:sz="0" w:space="0" w:color="auto"/>
                    <w:right w:val="none" w:sz="0" w:space="0" w:color="auto"/>
                  </w:divBdr>
                </w:div>
                <w:div w:id="298734109">
                  <w:marLeft w:val="0"/>
                  <w:marRight w:val="0"/>
                  <w:marTop w:val="0"/>
                  <w:marBottom w:val="0"/>
                  <w:divBdr>
                    <w:top w:val="none" w:sz="0" w:space="0" w:color="auto"/>
                    <w:left w:val="none" w:sz="0" w:space="0" w:color="auto"/>
                    <w:bottom w:val="none" w:sz="0" w:space="0" w:color="auto"/>
                    <w:right w:val="none" w:sz="0" w:space="0" w:color="auto"/>
                  </w:divBdr>
                </w:div>
              </w:divsChild>
            </w:div>
            <w:div w:id="976690493">
              <w:marLeft w:val="0"/>
              <w:marRight w:val="0"/>
              <w:marTop w:val="0"/>
              <w:marBottom w:val="0"/>
              <w:divBdr>
                <w:top w:val="none" w:sz="0" w:space="0" w:color="auto"/>
                <w:left w:val="none" w:sz="0" w:space="0" w:color="auto"/>
                <w:bottom w:val="none" w:sz="0" w:space="0" w:color="auto"/>
                <w:right w:val="none" w:sz="0" w:space="0" w:color="auto"/>
              </w:divBdr>
              <w:divsChild>
                <w:div w:id="89469538">
                  <w:marLeft w:val="0"/>
                  <w:marRight w:val="0"/>
                  <w:marTop w:val="0"/>
                  <w:marBottom w:val="0"/>
                  <w:divBdr>
                    <w:top w:val="none" w:sz="0" w:space="0" w:color="auto"/>
                    <w:left w:val="none" w:sz="0" w:space="0" w:color="auto"/>
                    <w:bottom w:val="none" w:sz="0" w:space="0" w:color="auto"/>
                    <w:right w:val="none" w:sz="0" w:space="0" w:color="auto"/>
                  </w:divBdr>
                </w:div>
                <w:div w:id="1792900918">
                  <w:marLeft w:val="0"/>
                  <w:marRight w:val="0"/>
                  <w:marTop w:val="0"/>
                  <w:marBottom w:val="0"/>
                  <w:divBdr>
                    <w:top w:val="none" w:sz="0" w:space="0" w:color="auto"/>
                    <w:left w:val="none" w:sz="0" w:space="0" w:color="auto"/>
                    <w:bottom w:val="none" w:sz="0" w:space="0" w:color="auto"/>
                    <w:right w:val="none" w:sz="0" w:space="0" w:color="auto"/>
                  </w:divBdr>
                </w:div>
                <w:div w:id="1857689004">
                  <w:marLeft w:val="0"/>
                  <w:marRight w:val="0"/>
                  <w:marTop w:val="0"/>
                  <w:marBottom w:val="0"/>
                  <w:divBdr>
                    <w:top w:val="none" w:sz="0" w:space="0" w:color="auto"/>
                    <w:left w:val="none" w:sz="0" w:space="0" w:color="auto"/>
                    <w:bottom w:val="none" w:sz="0" w:space="0" w:color="auto"/>
                    <w:right w:val="none" w:sz="0" w:space="0" w:color="auto"/>
                  </w:divBdr>
                </w:div>
                <w:div w:id="1666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8516">
      <w:bodyDiv w:val="1"/>
      <w:marLeft w:val="0"/>
      <w:marRight w:val="0"/>
      <w:marTop w:val="0"/>
      <w:marBottom w:val="0"/>
      <w:divBdr>
        <w:top w:val="none" w:sz="0" w:space="0" w:color="auto"/>
        <w:left w:val="none" w:sz="0" w:space="0" w:color="auto"/>
        <w:bottom w:val="none" w:sz="0" w:space="0" w:color="auto"/>
        <w:right w:val="none" w:sz="0" w:space="0" w:color="auto"/>
      </w:divBdr>
      <w:divsChild>
        <w:div w:id="1299343058">
          <w:marLeft w:val="0"/>
          <w:marRight w:val="0"/>
          <w:marTop w:val="0"/>
          <w:marBottom w:val="0"/>
          <w:divBdr>
            <w:top w:val="none" w:sz="0" w:space="0" w:color="auto"/>
            <w:left w:val="none" w:sz="0" w:space="0" w:color="auto"/>
            <w:bottom w:val="none" w:sz="0" w:space="0" w:color="auto"/>
            <w:right w:val="none" w:sz="0" w:space="0" w:color="auto"/>
          </w:divBdr>
          <w:divsChild>
            <w:div w:id="12022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9478">
      <w:bodyDiv w:val="1"/>
      <w:marLeft w:val="0"/>
      <w:marRight w:val="0"/>
      <w:marTop w:val="0"/>
      <w:marBottom w:val="0"/>
      <w:divBdr>
        <w:top w:val="none" w:sz="0" w:space="0" w:color="auto"/>
        <w:left w:val="none" w:sz="0" w:space="0" w:color="auto"/>
        <w:bottom w:val="none" w:sz="0" w:space="0" w:color="auto"/>
        <w:right w:val="none" w:sz="0" w:space="0" w:color="auto"/>
      </w:divBdr>
    </w:div>
    <w:div w:id="870459636">
      <w:bodyDiv w:val="1"/>
      <w:marLeft w:val="0"/>
      <w:marRight w:val="0"/>
      <w:marTop w:val="0"/>
      <w:marBottom w:val="0"/>
      <w:divBdr>
        <w:top w:val="none" w:sz="0" w:space="0" w:color="auto"/>
        <w:left w:val="none" w:sz="0" w:space="0" w:color="auto"/>
        <w:bottom w:val="none" w:sz="0" w:space="0" w:color="auto"/>
        <w:right w:val="none" w:sz="0" w:space="0" w:color="auto"/>
      </w:divBdr>
    </w:div>
    <w:div w:id="900484516">
      <w:bodyDiv w:val="1"/>
      <w:marLeft w:val="0"/>
      <w:marRight w:val="0"/>
      <w:marTop w:val="0"/>
      <w:marBottom w:val="0"/>
      <w:divBdr>
        <w:top w:val="none" w:sz="0" w:space="0" w:color="auto"/>
        <w:left w:val="none" w:sz="0" w:space="0" w:color="auto"/>
        <w:bottom w:val="none" w:sz="0" w:space="0" w:color="auto"/>
        <w:right w:val="none" w:sz="0" w:space="0" w:color="auto"/>
      </w:divBdr>
    </w:div>
    <w:div w:id="922688100">
      <w:bodyDiv w:val="1"/>
      <w:marLeft w:val="0"/>
      <w:marRight w:val="0"/>
      <w:marTop w:val="0"/>
      <w:marBottom w:val="0"/>
      <w:divBdr>
        <w:top w:val="none" w:sz="0" w:space="0" w:color="auto"/>
        <w:left w:val="none" w:sz="0" w:space="0" w:color="auto"/>
        <w:bottom w:val="none" w:sz="0" w:space="0" w:color="auto"/>
        <w:right w:val="none" w:sz="0" w:space="0" w:color="auto"/>
      </w:divBdr>
    </w:div>
    <w:div w:id="975793755">
      <w:bodyDiv w:val="1"/>
      <w:marLeft w:val="0"/>
      <w:marRight w:val="0"/>
      <w:marTop w:val="0"/>
      <w:marBottom w:val="0"/>
      <w:divBdr>
        <w:top w:val="none" w:sz="0" w:space="0" w:color="auto"/>
        <w:left w:val="none" w:sz="0" w:space="0" w:color="auto"/>
        <w:bottom w:val="none" w:sz="0" w:space="0" w:color="auto"/>
        <w:right w:val="none" w:sz="0" w:space="0" w:color="auto"/>
      </w:divBdr>
    </w:div>
    <w:div w:id="986129979">
      <w:bodyDiv w:val="1"/>
      <w:marLeft w:val="0"/>
      <w:marRight w:val="0"/>
      <w:marTop w:val="0"/>
      <w:marBottom w:val="0"/>
      <w:divBdr>
        <w:top w:val="none" w:sz="0" w:space="0" w:color="auto"/>
        <w:left w:val="none" w:sz="0" w:space="0" w:color="auto"/>
        <w:bottom w:val="none" w:sz="0" w:space="0" w:color="auto"/>
        <w:right w:val="none" w:sz="0" w:space="0" w:color="auto"/>
      </w:divBdr>
    </w:div>
    <w:div w:id="1013263895">
      <w:bodyDiv w:val="1"/>
      <w:marLeft w:val="0"/>
      <w:marRight w:val="0"/>
      <w:marTop w:val="0"/>
      <w:marBottom w:val="0"/>
      <w:divBdr>
        <w:top w:val="none" w:sz="0" w:space="0" w:color="auto"/>
        <w:left w:val="none" w:sz="0" w:space="0" w:color="auto"/>
        <w:bottom w:val="none" w:sz="0" w:space="0" w:color="auto"/>
        <w:right w:val="none" w:sz="0" w:space="0" w:color="auto"/>
      </w:divBdr>
    </w:div>
    <w:div w:id="1242956485">
      <w:bodyDiv w:val="1"/>
      <w:marLeft w:val="0"/>
      <w:marRight w:val="0"/>
      <w:marTop w:val="0"/>
      <w:marBottom w:val="0"/>
      <w:divBdr>
        <w:top w:val="none" w:sz="0" w:space="0" w:color="auto"/>
        <w:left w:val="none" w:sz="0" w:space="0" w:color="auto"/>
        <w:bottom w:val="none" w:sz="0" w:space="0" w:color="auto"/>
        <w:right w:val="none" w:sz="0" w:space="0" w:color="auto"/>
      </w:divBdr>
    </w:div>
    <w:div w:id="1258252636">
      <w:bodyDiv w:val="1"/>
      <w:marLeft w:val="0"/>
      <w:marRight w:val="0"/>
      <w:marTop w:val="0"/>
      <w:marBottom w:val="0"/>
      <w:divBdr>
        <w:top w:val="none" w:sz="0" w:space="0" w:color="auto"/>
        <w:left w:val="none" w:sz="0" w:space="0" w:color="auto"/>
        <w:bottom w:val="none" w:sz="0" w:space="0" w:color="auto"/>
        <w:right w:val="none" w:sz="0" w:space="0" w:color="auto"/>
      </w:divBdr>
    </w:div>
    <w:div w:id="1332371056">
      <w:bodyDiv w:val="1"/>
      <w:marLeft w:val="0"/>
      <w:marRight w:val="0"/>
      <w:marTop w:val="0"/>
      <w:marBottom w:val="0"/>
      <w:divBdr>
        <w:top w:val="none" w:sz="0" w:space="0" w:color="auto"/>
        <w:left w:val="none" w:sz="0" w:space="0" w:color="auto"/>
        <w:bottom w:val="none" w:sz="0" w:space="0" w:color="auto"/>
        <w:right w:val="none" w:sz="0" w:space="0" w:color="auto"/>
      </w:divBdr>
    </w:div>
    <w:div w:id="1435518008">
      <w:bodyDiv w:val="1"/>
      <w:marLeft w:val="0"/>
      <w:marRight w:val="0"/>
      <w:marTop w:val="0"/>
      <w:marBottom w:val="0"/>
      <w:divBdr>
        <w:top w:val="none" w:sz="0" w:space="0" w:color="auto"/>
        <w:left w:val="none" w:sz="0" w:space="0" w:color="auto"/>
        <w:bottom w:val="none" w:sz="0" w:space="0" w:color="auto"/>
        <w:right w:val="none" w:sz="0" w:space="0" w:color="auto"/>
      </w:divBdr>
      <w:divsChild>
        <w:div w:id="835148248">
          <w:marLeft w:val="0"/>
          <w:marRight w:val="0"/>
          <w:marTop w:val="0"/>
          <w:marBottom w:val="0"/>
          <w:divBdr>
            <w:top w:val="none" w:sz="0" w:space="0" w:color="auto"/>
            <w:left w:val="none" w:sz="0" w:space="0" w:color="auto"/>
            <w:bottom w:val="none" w:sz="0" w:space="0" w:color="auto"/>
            <w:right w:val="none" w:sz="0" w:space="0" w:color="auto"/>
          </w:divBdr>
        </w:div>
        <w:div w:id="1254053186">
          <w:marLeft w:val="0"/>
          <w:marRight w:val="0"/>
          <w:marTop w:val="0"/>
          <w:marBottom w:val="0"/>
          <w:divBdr>
            <w:top w:val="none" w:sz="0" w:space="0" w:color="auto"/>
            <w:left w:val="none" w:sz="0" w:space="0" w:color="auto"/>
            <w:bottom w:val="none" w:sz="0" w:space="0" w:color="auto"/>
            <w:right w:val="none" w:sz="0" w:space="0" w:color="auto"/>
          </w:divBdr>
        </w:div>
        <w:div w:id="2008702867">
          <w:marLeft w:val="0"/>
          <w:marRight w:val="0"/>
          <w:marTop w:val="0"/>
          <w:marBottom w:val="0"/>
          <w:divBdr>
            <w:top w:val="none" w:sz="0" w:space="0" w:color="auto"/>
            <w:left w:val="none" w:sz="0" w:space="0" w:color="auto"/>
            <w:bottom w:val="none" w:sz="0" w:space="0" w:color="auto"/>
            <w:right w:val="none" w:sz="0" w:space="0" w:color="auto"/>
          </w:divBdr>
        </w:div>
        <w:div w:id="700281739">
          <w:marLeft w:val="0"/>
          <w:marRight w:val="0"/>
          <w:marTop w:val="0"/>
          <w:marBottom w:val="0"/>
          <w:divBdr>
            <w:top w:val="none" w:sz="0" w:space="0" w:color="auto"/>
            <w:left w:val="none" w:sz="0" w:space="0" w:color="auto"/>
            <w:bottom w:val="none" w:sz="0" w:space="0" w:color="auto"/>
            <w:right w:val="none" w:sz="0" w:space="0" w:color="auto"/>
          </w:divBdr>
        </w:div>
        <w:div w:id="1055935687">
          <w:marLeft w:val="0"/>
          <w:marRight w:val="0"/>
          <w:marTop w:val="0"/>
          <w:marBottom w:val="0"/>
          <w:divBdr>
            <w:top w:val="none" w:sz="0" w:space="0" w:color="auto"/>
            <w:left w:val="none" w:sz="0" w:space="0" w:color="auto"/>
            <w:bottom w:val="none" w:sz="0" w:space="0" w:color="auto"/>
            <w:right w:val="none" w:sz="0" w:space="0" w:color="auto"/>
          </w:divBdr>
        </w:div>
        <w:div w:id="196281564">
          <w:marLeft w:val="0"/>
          <w:marRight w:val="0"/>
          <w:marTop w:val="0"/>
          <w:marBottom w:val="0"/>
          <w:divBdr>
            <w:top w:val="none" w:sz="0" w:space="0" w:color="auto"/>
            <w:left w:val="none" w:sz="0" w:space="0" w:color="auto"/>
            <w:bottom w:val="none" w:sz="0" w:space="0" w:color="auto"/>
            <w:right w:val="none" w:sz="0" w:space="0" w:color="auto"/>
          </w:divBdr>
        </w:div>
        <w:div w:id="1712732036">
          <w:marLeft w:val="0"/>
          <w:marRight w:val="0"/>
          <w:marTop w:val="0"/>
          <w:marBottom w:val="0"/>
          <w:divBdr>
            <w:top w:val="none" w:sz="0" w:space="0" w:color="auto"/>
            <w:left w:val="none" w:sz="0" w:space="0" w:color="auto"/>
            <w:bottom w:val="none" w:sz="0" w:space="0" w:color="auto"/>
            <w:right w:val="none" w:sz="0" w:space="0" w:color="auto"/>
          </w:divBdr>
        </w:div>
        <w:div w:id="1513908323">
          <w:marLeft w:val="0"/>
          <w:marRight w:val="0"/>
          <w:marTop w:val="0"/>
          <w:marBottom w:val="0"/>
          <w:divBdr>
            <w:top w:val="none" w:sz="0" w:space="0" w:color="auto"/>
            <w:left w:val="none" w:sz="0" w:space="0" w:color="auto"/>
            <w:bottom w:val="none" w:sz="0" w:space="0" w:color="auto"/>
            <w:right w:val="none" w:sz="0" w:space="0" w:color="auto"/>
          </w:divBdr>
        </w:div>
      </w:divsChild>
    </w:div>
    <w:div w:id="1482234037">
      <w:bodyDiv w:val="1"/>
      <w:marLeft w:val="0"/>
      <w:marRight w:val="0"/>
      <w:marTop w:val="0"/>
      <w:marBottom w:val="0"/>
      <w:divBdr>
        <w:top w:val="none" w:sz="0" w:space="0" w:color="auto"/>
        <w:left w:val="none" w:sz="0" w:space="0" w:color="auto"/>
        <w:bottom w:val="none" w:sz="0" w:space="0" w:color="auto"/>
        <w:right w:val="none" w:sz="0" w:space="0" w:color="auto"/>
      </w:divBdr>
      <w:divsChild>
        <w:div w:id="1820417281">
          <w:marLeft w:val="0"/>
          <w:marRight w:val="0"/>
          <w:marTop w:val="0"/>
          <w:marBottom w:val="0"/>
          <w:divBdr>
            <w:top w:val="none" w:sz="0" w:space="0" w:color="auto"/>
            <w:left w:val="none" w:sz="0" w:space="0" w:color="auto"/>
            <w:bottom w:val="none" w:sz="0" w:space="0" w:color="auto"/>
            <w:right w:val="none" w:sz="0" w:space="0" w:color="auto"/>
          </w:divBdr>
          <w:divsChild>
            <w:div w:id="103497921">
              <w:marLeft w:val="0"/>
              <w:marRight w:val="0"/>
              <w:marTop w:val="0"/>
              <w:marBottom w:val="0"/>
              <w:divBdr>
                <w:top w:val="none" w:sz="0" w:space="0" w:color="auto"/>
                <w:left w:val="none" w:sz="0" w:space="0" w:color="auto"/>
                <w:bottom w:val="none" w:sz="0" w:space="0" w:color="auto"/>
                <w:right w:val="none" w:sz="0" w:space="0" w:color="auto"/>
              </w:divBdr>
            </w:div>
            <w:div w:id="1349482101">
              <w:marLeft w:val="0"/>
              <w:marRight w:val="0"/>
              <w:marTop w:val="0"/>
              <w:marBottom w:val="0"/>
              <w:divBdr>
                <w:top w:val="none" w:sz="0" w:space="0" w:color="auto"/>
                <w:left w:val="none" w:sz="0" w:space="0" w:color="auto"/>
                <w:bottom w:val="none" w:sz="0" w:space="0" w:color="auto"/>
                <w:right w:val="none" w:sz="0" w:space="0" w:color="auto"/>
              </w:divBdr>
            </w:div>
            <w:div w:id="574781845">
              <w:marLeft w:val="0"/>
              <w:marRight w:val="0"/>
              <w:marTop w:val="0"/>
              <w:marBottom w:val="0"/>
              <w:divBdr>
                <w:top w:val="none" w:sz="0" w:space="0" w:color="auto"/>
                <w:left w:val="none" w:sz="0" w:space="0" w:color="auto"/>
                <w:bottom w:val="none" w:sz="0" w:space="0" w:color="auto"/>
                <w:right w:val="none" w:sz="0" w:space="0" w:color="auto"/>
              </w:divBdr>
            </w:div>
            <w:div w:id="10108397">
              <w:marLeft w:val="0"/>
              <w:marRight w:val="0"/>
              <w:marTop w:val="0"/>
              <w:marBottom w:val="0"/>
              <w:divBdr>
                <w:top w:val="none" w:sz="0" w:space="0" w:color="auto"/>
                <w:left w:val="none" w:sz="0" w:space="0" w:color="auto"/>
                <w:bottom w:val="none" w:sz="0" w:space="0" w:color="auto"/>
                <w:right w:val="none" w:sz="0" w:space="0" w:color="auto"/>
              </w:divBdr>
            </w:div>
            <w:div w:id="1033312274">
              <w:marLeft w:val="0"/>
              <w:marRight w:val="0"/>
              <w:marTop w:val="0"/>
              <w:marBottom w:val="0"/>
              <w:divBdr>
                <w:top w:val="none" w:sz="0" w:space="0" w:color="auto"/>
                <w:left w:val="none" w:sz="0" w:space="0" w:color="auto"/>
                <w:bottom w:val="none" w:sz="0" w:space="0" w:color="auto"/>
                <w:right w:val="none" w:sz="0" w:space="0" w:color="auto"/>
              </w:divBdr>
            </w:div>
          </w:divsChild>
        </w:div>
        <w:div w:id="1729526641">
          <w:marLeft w:val="0"/>
          <w:marRight w:val="0"/>
          <w:marTop w:val="0"/>
          <w:marBottom w:val="0"/>
          <w:divBdr>
            <w:top w:val="none" w:sz="0" w:space="0" w:color="auto"/>
            <w:left w:val="none" w:sz="0" w:space="0" w:color="auto"/>
            <w:bottom w:val="none" w:sz="0" w:space="0" w:color="auto"/>
            <w:right w:val="none" w:sz="0" w:space="0" w:color="auto"/>
          </w:divBdr>
          <w:divsChild>
            <w:div w:id="494030465">
              <w:marLeft w:val="0"/>
              <w:marRight w:val="0"/>
              <w:marTop w:val="0"/>
              <w:marBottom w:val="0"/>
              <w:divBdr>
                <w:top w:val="none" w:sz="0" w:space="0" w:color="auto"/>
                <w:left w:val="none" w:sz="0" w:space="0" w:color="auto"/>
                <w:bottom w:val="none" w:sz="0" w:space="0" w:color="auto"/>
                <w:right w:val="none" w:sz="0" w:space="0" w:color="auto"/>
              </w:divBdr>
            </w:div>
            <w:div w:id="1248272205">
              <w:marLeft w:val="0"/>
              <w:marRight w:val="0"/>
              <w:marTop w:val="0"/>
              <w:marBottom w:val="0"/>
              <w:divBdr>
                <w:top w:val="none" w:sz="0" w:space="0" w:color="auto"/>
                <w:left w:val="none" w:sz="0" w:space="0" w:color="auto"/>
                <w:bottom w:val="none" w:sz="0" w:space="0" w:color="auto"/>
                <w:right w:val="none" w:sz="0" w:space="0" w:color="auto"/>
              </w:divBdr>
            </w:div>
            <w:div w:id="1363747856">
              <w:marLeft w:val="0"/>
              <w:marRight w:val="0"/>
              <w:marTop w:val="0"/>
              <w:marBottom w:val="0"/>
              <w:divBdr>
                <w:top w:val="none" w:sz="0" w:space="0" w:color="auto"/>
                <w:left w:val="none" w:sz="0" w:space="0" w:color="auto"/>
                <w:bottom w:val="none" w:sz="0" w:space="0" w:color="auto"/>
                <w:right w:val="none" w:sz="0" w:space="0" w:color="auto"/>
              </w:divBdr>
            </w:div>
            <w:div w:id="140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1445">
      <w:bodyDiv w:val="1"/>
      <w:marLeft w:val="0"/>
      <w:marRight w:val="0"/>
      <w:marTop w:val="0"/>
      <w:marBottom w:val="0"/>
      <w:divBdr>
        <w:top w:val="none" w:sz="0" w:space="0" w:color="auto"/>
        <w:left w:val="none" w:sz="0" w:space="0" w:color="auto"/>
        <w:bottom w:val="none" w:sz="0" w:space="0" w:color="auto"/>
        <w:right w:val="none" w:sz="0" w:space="0" w:color="auto"/>
      </w:divBdr>
    </w:div>
    <w:div w:id="1527984198">
      <w:bodyDiv w:val="1"/>
      <w:marLeft w:val="0"/>
      <w:marRight w:val="0"/>
      <w:marTop w:val="0"/>
      <w:marBottom w:val="0"/>
      <w:divBdr>
        <w:top w:val="none" w:sz="0" w:space="0" w:color="auto"/>
        <w:left w:val="none" w:sz="0" w:space="0" w:color="auto"/>
        <w:bottom w:val="none" w:sz="0" w:space="0" w:color="auto"/>
        <w:right w:val="none" w:sz="0" w:space="0" w:color="auto"/>
      </w:divBdr>
    </w:div>
    <w:div w:id="1530726431">
      <w:bodyDiv w:val="1"/>
      <w:marLeft w:val="0"/>
      <w:marRight w:val="0"/>
      <w:marTop w:val="0"/>
      <w:marBottom w:val="0"/>
      <w:divBdr>
        <w:top w:val="none" w:sz="0" w:space="0" w:color="auto"/>
        <w:left w:val="none" w:sz="0" w:space="0" w:color="auto"/>
        <w:bottom w:val="none" w:sz="0" w:space="0" w:color="auto"/>
        <w:right w:val="none" w:sz="0" w:space="0" w:color="auto"/>
      </w:divBdr>
    </w:div>
    <w:div w:id="1553887727">
      <w:bodyDiv w:val="1"/>
      <w:marLeft w:val="0"/>
      <w:marRight w:val="0"/>
      <w:marTop w:val="0"/>
      <w:marBottom w:val="0"/>
      <w:divBdr>
        <w:top w:val="none" w:sz="0" w:space="0" w:color="auto"/>
        <w:left w:val="none" w:sz="0" w:space="0" w:color="auto"/>
        <w:bottom w:val="none" w:sz="0" w:space="0" w:color="auto"/>
        <w:right w:val="none" w:sz="0" w:space="0" w:color="auto"/>
      </w:divBdr>
    </w:div>
    <w:div w:id="1656177958">
      <w:bodyDiv w:val="1"/>
      <w:marLeft w:val="0"/>
      <w:marRight w:val="0"/>
      <w:marTop w:val="0"/>
      <w:marBottom w:val="0"/>
      <w:divBdr>
        <w:top w:val="none" w:sz="0" w:space="0" w:color="auto"/>
        <w:left w:val="none" w:sz="0" w:space="0" w:color="auto"/>
        <w:bottom w:val="none" w:sz="0" w:space="0" w:color="auto"/>
        <w:right w:val="none" w:sz="0" w:space="0" w:color="auto"/>
      </w:divBdr>
    </w:div>
    <w:div w:id="1657761500">
      <w:bodyDiv w:val="1"/>
      <w:marLeft w:val="0"/>
      <w:marRight w:val="0"/>
      <w:marTop w:val="0"/>
      <w:marBottom w:val="0"/>
      <w:divBdr>
        <w:top w:val="none" w:sz="0" w:space="0" w:color="auto"/>
        <w:left w:val="none" w:sz="0" w:space="0" w:color="auto"/>
        <w:bottom w:val="none" w:sz="0" w:space="0" w:color="auto"/>
        <w:right w:val="none" w:sz="0" w:space="0" w:color="auto"/>
      </w:divBdr>
    </w:div>
    <w:div w:id="16675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cfr/text/2/part-2900" TargetMode="External"/><Relationship Id="rId117" Type="http://schemas.openxmlformats.org/officeDocument/2006/relationships/hyperlink" Target="https://storemultisites.blob.core.windows.net/media/WPC/wswa/support/worksource-services-catalog.xlsx" TargetMode="External"/><Relationship Id="rId21" Type="http://schemas.openxmlformats.org/officeDocument/2006/relationships/hyperlink" Target="https://www.law.cornell.edu/cfr/text/2/200.327" TargetMode="External"/><Relationship Id="rId42" Type="http://schemas.openxmlformats.org/officeDocument/2006/relationships/hyperlink" Target="https://www.ecfr.gov/current/title-20/section-652.206" TargetMode="External"/><Relationship Id="rId47" Type="http://schemas.openxmlformats.org/officeDocument/2006/relationships/hyperlink" Target="https://www.ecfr.gov/current/title-20/section-678.500" TargetMode="External"/><Relationship Id="rId63" Type="http://schemas.openxmlformats.org/officeDocument/2006/relationships/hyperlink" Target="https://www.ecfr.gov/current/title-20/part-651" TargetMode="External"/><Relationship Id="rId68" Type="http://schemas.openxmlformats.org/officeDocument/2006/relationships/hyperlink" Target="https://www.govinfo.gov/link/uscode/38/4212" TargetMode="External"/><Relationship Id="rId84" Type="http://schemas.openxmlformats.org/officeDocument/2006/relationships/hyperlink" Target="https://www.ecfr.gov/current/title-20/chapter-V/part-658" TargetMode="External"/><Relationship Id="rId89" Type="http://schemas.openxmlformats.org/officeDocument/2006/relationships/hyperlink" Target="https://www.ecfr.gov/current/title-20/section-653.108" TargetMode="External"/><Relationship Id="rId112" Type="http://schemas.openxmlformats.org/officeDocument/2006/relationships/hyperlink" Target="https://storemultisites.blob.core.windows.net/media/WPC/adm/policy/4030.pdf" TargetMode="External"/><Relationship Id="rId16" Type="http://schemas.openxmlformats.org/officeDocument/2006/relationships/hyperlink" Target="https://www.law.cornell.edu/definitions/index.php?width=840&amp;height=800&amp;iframe=true&amp;def_id=4e93cba201ed7b43650200216df75c27&amp;term_occur=999&amp;term_src=Title:20:Chapter:V:Part:683:Subpart:D:683.410" TargetMode="External"/><Relationship Id="rId107" Type="http://schemas.openxmlformats.org/officeDocument/2006/relationships/hyperlink" Target="https://storemultisites.blob.core.windows.net/media/WPC/adm/policy/attachments/1003-5%20Attach%20B.xlsx" TargetMode="External"/><Relationship Id="rId11"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32"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37" Type="http://schemas.openxmlformats.org/officeDocument/2006/relationships/hyperlink" Target="https://www.ecfr.gov/current/title-20/part-652" TargetMode="External"/><Relationship Id="rId53" Type="http://schemas.openxmlformats.org/officeDocument/2006/relationships/hyperlink" Target="https://www.ecfr.gov/current/title-20/part-653/subpart-B" TargetMode="External"/><Relationship Id="rId58" Type="http://schemas.openxmlformats.org/officeDocument/2006/relationships/hyperlink" Target="https://www.govinfo.gov/content/pkg/FR-2016-08-19/pdf/2016-15975.pdf" TargetMode="External"/><Relationship Id="rId74" Type="http://schemas.openxmlformats.org/officeDocument/2006/relationships/hyperlink" Target="https://www.ecfr.gov/current/title-20/section-658.601" TargetMode="External"/><Relationship Id="rId79" Type="http://schemas.openxmlformats.org/officeDocument/2006/relationships/hyperlink" Target="https://www.ecfr.gov/current/title-20/chapter-V" TargetMode="External"/><Relationship Id="rId102" Type="http://schemas.openxmlformats.org/officeDocument/2006/relationships/hyperlink" Target="https://storemultisites.blob.core.windows.net/media/WPC/adm/policy/1023-1.pdf" TargetMode="External"/><Relationship Id="rId123" Type="http://schemas.openxmlformats.org/officeDocument/2006/relationships/hyperlink" Target="https://www.wtb.wa.gov/planning-programs/washington-state-workforce-plan/"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storemultisites.blob.core.windows.net/media/WPC/adm/policy/1012-2-3.pdf" TargetMode="External"/><Relationship Id="rId95" Type="http://schemas.openxmlformats.org/officeDocument/2006/relationships/hyperlink" Target="https://www.ecfr.gov/current/title-20/part-653" TargetMode="External"/><Relationship Id="rId19" Type="http://schemas.openxmlformats.org/officeDocument/2006/relationships/hyperlink" Target="https://www.law.cornell.edu/cfr/text/2/part-200" TargetMode="External"/><Relationship Id="rId14" Type="http://schemas.openxmlformats.org/officeDocument/2006/relationships/hyperlink" Target="https://www.law.cornell.edu/topn/federal_employment_service_act" TargetMode="External"/><Relationship Id="rId22" Type="http://schemas.openxmlformats.org/officeDocument/2006/relationships/hyperlink" Target="https://www.law.cornell.edu/cfr/text/2/200.328" TargetMode="External"/><Relationship Id="rId27"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30" Type="http://schemas.openxmlformats.org/officeDocument/2006/relationships/hyperlink" Target="https://www.law.cornell.edu/cfr/text/2/part-200" TargetMode="External"/><Relationship Id="rId35" Type="http://schemas.openxmlformats.org/officeDocument/2006/relationships/hyperlink" Target="https://www.ecfr.gov/current/title-20/chapter-V/part-651?toc=1" TargetMode="External"/><Relationship Id="rId43" Type="http://schemas.openxmlformats.org/officeDocument/2006/relationships/hyperlink" Target="https://www.ecfr.gov/current/title-20/section-678.430" TargetMode="External"/><Relationship Id="rId48" Type="http://schemas.openxmlformats.org/officeDocument/2006/relationships/hyperlink" Target="https://www.ecfr.gov/current/title-20/chapter-V/part-678/subpart-B/section-678.430" TargetMode="External"/><Relationship Id="rId56" Type="http://schemas.openxmlformats.org/officeDocument/2006/relationships/hyperlink" Target="https://www.ecfr.gov/current/title-20/chapter-V/part-653" TargetMode="External"/><Relationship Id="rId64" Type="http://schemas.openxmlformats.org/officeDocument/2006/relationships/hyperlink" Target="https://www.ecfr.gov/current/title-20/part-652" TargetMode="External"/><Relationship Id="rId69" Type="http://schemas.openxmlformats.org/officeDocument/2006/relationships/hyperlink" Target="https://www.ecfr.gov/current/title-20/section-651.10" TargetMode="External"/><Relationship Id="rId77" Type="http://schemas.openxmlformats.org/officeDocument/2006/relationships/hyperlink" Target="https://www.ecfr.gov/current/title-20/section-658.601" TargetMode="External"/><Relationship Id="rId100" Type="http://schemas.openxmlformats.org/officeDocument/2006/relationships/hyperlink" Target="https://storemultisites.blob.core.windows.net/media/WPC/adm/policy/attachments/1019%20Revision%207%20-%20Eligibility%20Policy%20Handbook%20PDF.pdf" TargetMode="External"/><Relationship Id="rId105" Type="http://schemas.openxmlformats.org/officeDocument/2006/relationships/hyperlink" Target="https://storemultisites.blob.core.windows.net/media/WPC/adm/policy/0082-1.pdf" TargetMode="External"/><Relationship Id="rId113" Type="http://schemas.openxmlformats.org/officeDocument/2006/relationships/hyperlink" Target="https://www.ecfr.gov/current/title-20/chapter-V/part-652" TargetMode="External"/><Relationship Id="rId118" Type="http://schemas.openxmlformats.org/officeDocument/2006/relationships/hyperlink" Target="https://storemultisites.blob.core.windows.net/media/WPC/adm/policy/0090-2.pdf" TargetMode="External"/><Relationship Id="rId126" Type="http://schemas.openxmlformats.org/officeDocument/2006/relationships/footer" Target="footer1.xml"/><Relationship Id="rId8" Type="http://schemas.openxmlformats.org/officeDocument/2006/relationships/hyperlink" Target="https://www.ecfr.gov/current/title-20/chapter-V/part-683/subpart-D/section-683.410" TargetMode="External"/><Relationship Id="rId51" Type="http://schemas.openxmlformats.org/officeDocument/2006/relationships/hyperlink" Target="https://www.ecfr.gov/current/title-20/section-678.430" TargetMode="External"/><Relationship Id="rId72" Type="http://schemas.openxmlformats.org/officeDocument/2006/relationships/hyperlink" Target="https://www.ecfr.gov/current/title-20/section-653.501" TargetMode="External"/><Relationship Id="rId80" Type="http://schemas.openxmlformats.org/officeDocument/2006/relationships/hyperlink" Target="https://www.ecfr.gov/current/title-20/part-653" TargetMode="External"/><Relationship Id="rId85" Type="http://schemas.openxmlformats.org/officeDocument/2006/relationships/hyperlink" Target="https://www.ecfr.gov/current/title-20/part-658/section-658.410" TargetMode="External"/><Relationship Id="rId93" Type="http://schemas.openxmlformats.org/officeDocument/2006/relationships/hyperlink" Target="https://www.ecfr.gov/current/title-20/chapter-V/part-653" TargetMode="External"/><Relationship Id="rId98" Type="http://schemas.openxmlformats.org/officeDocument/2006/relationships/hyperlink" Target="https://www.wtb.wa.gov/wp-content/uploads/2020/03/TAP-Update-2020-030420.pdf" TargetMode="External"/><Relationship Id="rId121" Type="http://schemas.openxmlformats.org/officeDocument/2006/relationships/hyperlink" Target="https://stateofwa.sharepoint.com/:f:/r/sites/ESD-emplsvcs-programsonestop/Wagner%20PeyserMSFW%20Tools%20%20Templates/H-2A%20Referral%20Material?csf=1&amp;web=1" TargetMode="External"/><Relationship Id="rId3" Type="http://schemas.openxmlformats.org/officeDocument/2006/relationships/styles" Target="styles.xml"/><Relationship Id="rId12" Type="http://schemas.openxmlformats.org/officeDocument/2006/relationships/hyperlink" Target="https://www.law.cornell.edu/topn/federal_employment_service_act" TargetMode="External"/><Relationship Id="rId17"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25" Type="http://schemas.openxmlformats.org/officeDocument/2006/relationships/hyperlink" Target="https://www.law.cornell.edu/definitions/index.php?width=840&amp;height=800&amp;iframe=true&amp;def_id=180226bac75aaba849305bb0726f9b35&amp;term_occur=999&amp;term_src=Title:20:Chapter:V:Part:683:Subpart:D:683.410" TargetMode="External"/><Relationship Id="rId33" Type="http://schemas.openxmlformats.org/officeDocument/2006/relationships/hyperlink" Target="https://www.law.cornell.edu/topn/assistive_technology_act_of_1998" TargetMode="External"/><Relationship Id="rId38" Type="http://schemas.openxmlformats.org/officeDocument/2006/relationships/hyperlink" Target="https://www.ecfr.gov/current/title-20/part-653" TargetMode="External"/><Relationship Id="rId46" Type="http://schemas.openxmlformats.org/officeDocument/2006/relationships/hyperlink" Target="https://www.ecfr.gov/current/title-20/section-652.206" TargetMode="External"/><Relationship Id="rId59" Type="http://schemas.openxmlformats.org/officeDocument/2006/relationships/hyperlink" Target="https://www.ecfr.gov/current/title-20/section-653.108" TargetMode="External"/><Relationship Id="rId67" Type="http://schemas.openxmlformats.org/officeDocument/2006/relationships/hyperlink" Target="https://www.ecfr.gov/current/title-20/section-658.411" TargetMode="External"/><Relationship Id="rId103" Type="http://schemas.openxmlformats.org/officeDocument/2006/relationships/hyperlink" Target="https://storemultisites.blob.core.windows.net/media/WPC/adm/policy/0120.pdf" TargetMode="External"/><Relationship Id="rId108" Type="http://schemas.openxmlformats.org/officeDocument/2006/relationships/hyperlink" Target="https://storemultisites.blob.core.windows.net/media/WPC/tech/staff-resources/eto-job-seeker-full-registration-desk-aid-2023-08-16.docx" TargetMode="External"/><Relationship Id="rId116" Type="http://schemas.openxmlformats.org/officeDocument/2006/relationships/hyperlink" Target="https://storemultisites.blob.core.windows.net/media/WPC/adm/policy/attachments/WSS%20Policy%201020-1%20Handbook.pdf" TargetMode="External"/><Relationship Id="rId124" Type="http://schemas.openxmlformats.org/officeDocument/2006/relationships/header" Target="header1.xml"/><Relationship Id="rId129" Type="http://schemas.openxmlformats.org/officeDocument/2006/relationships/footer" Target="footer3.xml"/><Relationship Id="rId20" Type="http://schemas.openxmlformats.org/officeDocument/2006/relationships/hyperlink" Target="https://www.law.cornell.edu/cfr/text/2" TargetMode="External"/><Relationship Id="rId41" Type="http://schemas.openxmlformats.org/officeDocument/2006/relationships/hyperlink" Target="https://www.ecfr.gov/current/title-20/chapter-V/part-652" TargetMode="External"/><Relationship Id="rId54" Type="http://schemas.openxmlformats.org/officeDocument/2006/relationships/hyperlink" Target="https://www.ecfr.gov/current/title-20/chapter-V/part-653" TargetMode="External"/><Relationship Id="rId62" Type="http://schemas.openxmlformats.org/officeDocument/2006/relationships/hyperlink" Target="https://www.ecfr.gov/current/title-20/chapter-V/part-658" TargetMode="External"/><Relationship Id="rId70" Type="http://schemas.openxmlformats.org/officeDocument/2006/relationships/hyperlink" Target="https://www.ecfr.gov/current/title-20/section-658.410" TargetMode="External"/><Relationship Id="rId75" Type="http://schemas.openxmlformats.org/officeDocument/2006/relationships/hyperlink" Target="https://www.ecfr.gov/current/title-20/section-658.601" TargetMode="External"/><Relationship Id="rId83" Type="http://schemas.openxmlformats.org/officeDocument/2006/relationships/hyperlink" Target="https://wdr.doleta.gov/directives/attach/UIPL/UIPL_14-18_Acc.pdf" TargetMode="External"/><Relationship Id="rId88" Type="http://schemas.openxmlformats.org/officeDocument/2006/relationships/hyperlink" Target="https://www.ecfr.gov/current/title-20/section-658.411" TargetMode="External"/><Relationship Id="rId91" Type="http://schemas.openxmlformats.org/officeDocument/2006/relationships/hyperlink" Target="https://storemultisites.blob.core.windows.net/media/WPC/adm/policy/Complaint_Handbook_1012_%20Rev_2-3.pdf" TargetMode="External"/><Relationship Id="rId96" Type="http://schemas.openxmlformats.org/officeDocument/2006/relationships/hyperlink" Target="https://www.ecfr.gov/current/title-20/chapter-V/part-653" TargetMode="External"/><Relationship Id="rId111" Type="http://schemas.openxmlformats.org/officeDocument/2006/relationships/hyperlink" Target="https://storemultisites.blob.core.windows.net/media/WPC/adm/policy/1022-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definitions/index.php?width=840&amp;height=800&amp;iframe=true&amp;def_id=38e2cc67d4a81aeecb56a0c896a42abc&amp;term_occur=999&amp;term_src=Title:20:Chapter:V:Part:683:Subpart:D:683.410" TargetMode="External"/><Relationship Id="rId23" Type="http://schemas.openxmlformats.org/officeDocument/2006/relationships/hyperlink" Target="https://www.law.cornell.edu/cfr/text/2/200.330" TargetMode="External"/><Relationship Id="rId28"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36" Type="http://schemas.openxmlformats.org/officeDocument/2006/relationships/hyperlink" Target="https://www.ecfr.gov/current/title-20/chapter-V/part-651?toc=1" TargetMode="External"/><Relationship Id="rId49" Type="http://schemas.openxmlformats.org/officeDocument/2006/relationships/hyperlink" Target="https://www.ecfr.gov/current/title-20/section-652.2" TargetMode="External"/><Relationship Id="rId57" Type="http://schemas.openxmlformats.org/officeDocument/2006/relationships/hyperlink" Target="https://www.ecfr.gov/current/title-20/chapter-V/part-653" TargetMode="External"/><Relationship Id="rId106" Type="http://schemas.openxmlformats.org/officeDocument/2006/relationships/hyperlink" Target="https://storemultisites.blob.core.windows.net/media/WPC/adm/policy/1003-5.pdf" TargetMode="External"/><Relationship Id="rId114" Type="http://schemas.openxmlformats.org/officeDocument/2006/relationships/hyperlink" Target="https://storemultisites.blob.core.windows.net/media/WPC/adm/policy/0082-1.pdf" TargetMode="External"/><Relationship Id="rId119" Type="http://schemas.openxmlformats.org/officeDocument/2006/relationships/hyperlink" Target="https://www.dol.gov/agencies/eta/advisories/unemployment-insurance-program-letter-no-14-18" TargetMode="External"/><Relationship Id="rId127" Type="http://schemas.openxmlformats.org/officeDocument/2006/relationships/footer" Target="footer2.xml"/><Relationship Id="rId10" Type="http://schemas.openxmlformats.org/officeDocument/2006/relationships/hyperlink" Target="https://www.law.cornell.edu/definitions/index.php?width=840&amp;height=800&amp;iframe=true&amp;def_id=38e2cc67d4a81aeecb56a0c896a42abc&amp;term_occur=999&amp;term_src=Title:20:Chapter:V:Part:683:Subpart:D:683.410" TargetMode="External"/><Relationship Id="rId31" Type="http://schemas.openxmlformats.org/officeDocument/2006/relationships/hyperlink" Target="https://www.ecfr.gov/current/title-29/part-38" TargetMode="External"/><Relationship Id="rId44" Type="http://schemas.openxmlformats.org/officeDocument/2006/relationships/hyperlink" Target="https://www.ecfr.gov/current/title-20/section-678.430" TargetMode="External"/><Relationship Id="rId52" Type="http://schemas.openxmlformats.org/officeDocument/2006/relationships/hyperlink" Target="https://www.ecfr.gov/current/title-20/chapter-V/part-678/subpart-B/section-678.430" TargetMode="External"/><Relationship Id="rId60" Type="http://schemas.openxmlformats.org/officeDocument/2006/relationships/hyperlink" Target="https://www.ecfr.gov/current/title-20/section-653.109" TargetMode="External"/><Relationship Id="rId65" Type="http://schemas.openxmlformats.org/officeDocument/2006/relationships/hyperlink" Target="https://www.ecfr.gov/current/title-20/part-653" TargetMode="External"/><Relationship Id="rId73" Type="http://schemas.openxmlformats.org/officeDocument/2006/relationships/hyperlink" Target="https://www.ecfr.gov/current/title-20/chapter-V/part-658" TargetMode="External"/><Relationship Id="rId78" Type="http://schemas.openxmlformats.org/officeDocument/2006/relationships/hyperlink" Target="https://www.ecfr.gov/current/title-20/part-1001" TargetMode="External"/><Relationship Id="rId81" Type="http://schemas.openxmlformats.org/officeDocument/2006/relationships/hyperlink" Target="https://www.dol.gov/agencies/eta/american-job-centers/wagner-peyser" TargetMode="External"/><Relationship Id="rId86" Type="http://schemas.openxmlformats.org/officeDocument/2006/relationships/hyperlink" Target="https://www.ecfr.gov/current/title-20/part-658" TargetMode="External"/><Relationship Id="rId94" Type="http://schemas.openxmlformats.org/officeDocument/2006/relationships/hyperlink" Target="https://www.ecfr.gov/current/title-20/chapter-V/part-653" TargetMode="External"/><Relationship Id="rId99" Type="http://schemas.openxmlformats.org/officeDocument/2006/relationships/hyperlink" Target="https://storemultisites.blob.core.windows.net/media/WPC/adm/policy/1019-7.pdf" TargetMode="External"/><Relationship Id="rId101" Type="http://schemas.openxmlformats.org/officeDocument/2006/relationships/hyperlink" Target="https://storemultisites.blob.core.windows.net/media/WPC/adm/policy/1020-1-2.pdf" TargetMode="External"/><Relationship Id="rId122" Type="http://schemas.openxmlformats.org/officeDocument/2006/relationships/hyperlink" Target="https://www.ecfr.gov/current/title-20/chapter-V/part-652"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faa71006f867df5bac1f112e4a498731&amp;term_occur=999&amp;term_src=Title:20:Chapter:V:Part:683:Subpart:D:683.410" TargetMode="External"/><Relationship Id="rId13" Type="http://schemas.openxmlformats.org/officeDocument/2006/relationships/hyperlink" Target="https://www.law.cornell.edu/definitions/index.php?width=840&amp;height=800&amp;iframe=true&amp;def_id=3a905a266cd9dd2d2ddc27af5f21b033&amp;term_occur=999&amp;term_src=Title:20:Chapter:V:Part:683:Subpart:D:683.410" TargetMode="External"/><Relationship Id="rId18" Type="http://schemas.openxmlformats.org/officeDocument/2006/relationships/hyperlink" Target="https://www.law.cornell.edu/topn/federal_employment_service_act" TargetMode="External"/><Relationship Id="rId39" Type="http://schemas.openxmlformats.org/officeDocument/2006/relationships/hyperlink" Target="https://www.ecfr.gov/current/title-20/part-654" TargetMode="External"/><Relationship Id="rId109" Type="http://schemas.openxmlformats.org/officeDocument/2006/relationships/hyperlink" Target="https://www.ecfr.gov/current/title-20/section-652.100" TargetMode="External"/><Relationship Id="rId34" Type="http://schemas.openxmlformats.org/officeDocument/2006/relationships/hyperlink" Target="https://www.law.cornell.edu/uscode/text/29/3003" TargetMode="External"/><Relationship Id="rId50" Type="http://schemas.openxmlformats.org/officeDocument/2006/relationships/hyperlink" Target="https://www.ecfr.gov/current/title-20/chapter-V/part-652" TargetMode="External"/><Relationship Id="rId55" Type="http://schemas.openxmlformats.org/officeDocument/2006/relationships/hyperlink" Target="https://www.ecfr.gov/current/title-20/chapter-V/part-653" TargetMode="External"/><Relationship Id="rId76" Type="http://schemas.openxmlformats.org/officeDocument/2006/relationships/hyperlink" Target="https://www.ecfr.gov/current/title-20/section-658.603" TargetMode="External"/><Relationship Id="rId97" Type="http://schemas.openxmlformats.org/officeDocument/2006/relationships/hyperlink" Target="https://www.govinfo.gov/content/pkg/FR-2016-08-19/pdf/2016-15975.pdf" TargetMode="External"/><Relationship Id="rId104" Type="http://schemas.openxmlformats.org/officeDocument/2006/relationships/hyperlink" Target="https://storemultisites.blob.core.windows.net/media/WPC/adm/policy/0081-4.pdf" TargetMode="External"/><Relationship Id="rId120" Type="http://schemas.openxmlformats.org/officeDocument/2006/relationships/hyperlink" Target="https://www.ecfr.gov/current/title-20/section-653.501"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ecfr.gov/current/title-20/section-658.411" TargetMode="External"/><Relationship Id="rId92" Type="http://schemas.openxmlformats.org/officeDocument/2006/relationships/hyperlink" Target="https://www.ecfr.gov/current/title-20/chapter-V/part-653"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45d86a1c8418d82c7e8e4398f2cc4dd3&amp;term_occur=999&amp;term_src=Title:20:Chapter:V:Part:683:Subpart:D:683.410" TargetMode="External"/><Relationship Id="rId24" Type="http://schemas.openxmlformats.org/officeDocument/2006/relationships/hyperlink" Target="https://www.law.cornell.edu/cfr/text/2/200.331" TargetMode="External"/><Relationship Id="rId40" Type="http://schemas.openxmlformats.org/officeDocument/2006/relationships/hyperlink" Target="https://www.ecfr.gov/current/title-20/part-658" TargetMode="External"/><Relationship Id="rId45" Type="http://schemas.openxmlformats.org/officeDocument/2006/relationships/hyperlink" Target="https://www.ecfr.gov/current/title-20/section-652.207" TargetMode="External"/><Relationship Id="rId66" Type="http://schemas.openxmlformats.org/officeDocument/2006/relationships/hyperlink" Target="https://www.ecfr.gov/current/title-20/part-654" TargetMode="External"/><Relationship Id="rId87" Type="http://schemas.openxmlformats.org/officeDocument/2006/relationships/hyperlink" Target="https://www.ecfr.gov/current/title-20/chapter-V/part-658/subpart-E/subject-group-ECFRd6f9fc50c95409e/section-658.410" TargetMode="External"/><Relationship Id="rId110" Type="http://schemas.openxmlformats.org/officeDocument/2006/relationships/hyperlink" Target="https://storemultisites.blob.core.windows.net/media/WPC/adm/policy/1009-3.pdf" TargetMode="External"/><Relationship Id="rId115" Type="http://schemas.openxmlformats.org/officeDocument/2006/relationships/hyperlink" Target="https://storemultisites.blob.core.windows.net/media/WPC/adm/policy/0023-2.pdf" TargetMode="External"/><Relationship Id="rId131" Type="http://schemas.openxmlformats.org/officeDocument/2006/relationships/theme" Target="theme/theme1.xml"/><Relationship Id="rId61" Type="http://schemas.openxmlformats.org/officeDocument/2006/relationships/hyperlink" Target="https://www.ecfr.gov/current/title-20/chapter-V/part-658" TargetMode="External"/><Relationship Id="rId82" Type="http://schemas.openxmlformats.org/officeDocument/2006/relationships/hyperlink" Target="https://www.dol.gov/agencies/eta/advisories/tegl-15-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7575-A5F5-4536-BA73-2EF35878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Meader, Michelle (ESD)</dc:creator>
  <cp:keywords/>
  <dc:description/>
  <cp:lastModifiedBy>Murphy, Jamie (ESD)</cp:lastModifiedBy>
  <cp:revision>2</cp:revision>
  <dcterms:created xsi:type="dcterms:W3CDTF">2023-12-01T20:47:00Z</dcterms:created>
  <dcterms:modified xsi:type="dcterms:W3CDTF">2023-12-01T20:47:00Z</dcterms:modified>
</cp:coreProperties>
</file>