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B0E6" w14:textId="04A775CC" w:rsidR="009C2DF7" w:rsidRDefault="009C2DF7" w:rsidP="002C53FE">
      <w:pPr>
        <w:spacing w:after="0" w:line="240" w:lineRule="auto"/>
      </w:pPr>
    </w:p>
    <w:p w14:paraId="275ED499" w14:textId="77777777" w:rsidR="004D26B0" w:rsidRDefault="004D26B0" w:rsidP="002C53FE">
      <w:pPr>
        <w:spacing w:after="0" w:line="240" w:lineRule="auto"/>
      </w:pPr>
    </w:p>
    <w:p w14:paraId="7D1C6226" w14:textId="48FD07F7" w:rsidR="00F20C3B" w:rsidRDefault="008458E9" w:rsidP="00F20C3B">
      <w:pPr>
        <w:pStyle w:val="ListParagraph"/>
        <w:numPr>
          <w:ilvl w:val="0"/>
          <w:numId w:val="9"/>
        </w:numPr>
        <w:spacing w:after="0" w:line="240" w:lineRule="auto"/>
      </w:pPr>
      <w:r>
        <w:t>T</w:t>
      </w:r>
      <w:r w:rsidR="00867D1F">
        <w:t>he Data Integrity Team</w:t>
      </w:r>
      <w:r w:rsidR="002C53FE">
        <w:t xml:space="preserve"> </w:t>
      </w:r>
      <w:r w:rsidR="00B87267">
        <w:t xml:space="preserve">will provide </w:t>
      </w:r>
      <w:r w:rsidR="002C53FE">
        <w:t>Monitoring with a</w:t>
      </w:r>
      <w:r w:rsidR="00B87267">
        <w:t xml:space="preserve">n all Workforce Development Area Sample and individual Workforce Development Area </w:t>
      </w:r>
      <w:r w:rsidR="002C53FE">
        <w:t>participant record table</w:t>
      </w:r>
      <w:r w:rsidR="00B87267">
        <w:t>(s)</w:t>
      </w:r>
      <w:r w:rsidR="002C53FE">
        <w:t xml:space="preserve"> that includes the PIRL data</w:t>
      </w:r>
      <w:r w:rsidR="00867D1F">
        <w:t xml:space="preserve"> </w:t>
      </w:r>
      <w:r w:rsidR="002C53FE">
        <w:t>values to be validated against source documentation.</w:t>
      </w:r>
      <w:r w:rsidR="00B87267">
        <w:t xml:space="preserve"> The individual area records process will begin after formal monitoring of Wagner-Peyser starts. </w:t>
      </w:r>
      <w:r>
        <w:t xml:space="preserve">When formal monitoring begins, the ESD Data Integrity Team will provide </w:t>
      </w:r>
      <w:r w:rsidR="00F20C3B">
        <w:t>a participant record table that assigns a random number to each record in the “rnum” filed four (4) weeks prior to each WorkSource Office Monitoring entrance.</w:t>
      </w:r>
    </w:p>
    <w:p w14:paraId="1353CA20" w14:textId="77777777" w:rsidR="004D26B0" w:rsidRDefault="004D26B0" w:rsidP="00F20C3B">
      <w:pPr>
        <w:spacing w:after="0" w:line="240" w:lineRule="auto"/>
      </w:pPr>
    </w:p>
    <w:p w14:paraId="30941E8B" w14:textId="77777777" w:rsidR="003E7C36" w:rsidRDefault="003E7C36" w:rsidP="00867D1F">
      <w:pPr>
        <w:pStyle w:val="ListParagraph"/>
        <w:numPr>
          <w:ilvl w:val="0"/>
          <w:numId w:val="9"/>
        </w:numPr>
        <w:spacing w:after="0" w:line="240" w:lineRule="auto"/>
      </w:pPr>
      <w:r>
        <w:t>Sample size and methodology for all Area Sample:</w:t>
      </w:r>
    </w:p>
    <w:p w14:paraId="0430E43B" w14:textId="5F63EC74" w:rsidR="002C53FE" w:rsidRDefault="002C53FE" w:rsidP="003E7C36">
      <w:pPr>
        <w:pStyle w:val="ListParagraph"/>
        <w:numPr>
          <w:ilvl w:val="1"/>
          <w:numId w:val="9"/>
        </w:numPr>
        <w:spacing w:after="0" w:line="240" w:lineRule="auto"/>
      </w:pPr>
      <w:r w:rsidRPr="006A4C1B">
        <w:t>Using the “rnum” field to create a random sort of table, for PY</w:t>
      </w:r>
      <w:r w:rsidR="00CA0ACE" w:rsidRPr="006A4C1B">
        <w:t>21</w:t>
      </w:r>
      <w:r w:rsidRPr="006A4C1B">
        <w:t xml:space="preserve"> records, </w:t>
      </w:r>
      <w:r w:rsidR="00C739E6">
        <w:t xml:space="preserve">the records will be then sorted within the worksheet according to Workforce Development Area and then the first 2 records from each area will be selected </w:t>
      </w:r>
      <w:r w:rsidR="00F20C3B">
        <w:t xml:space="preserve">for a </w:t>
      </w:r>
      <w:r w:rsidR="00C739E6">
        <w:t xml:space="preserve">sample of 24 records. </w:t>
      </w:r>
    </w:p>
    <w:p w14:paraId="2FF39CD4" w14:textId="2FD436A0" w:rsidR="003E7C36" w:rsidRDefault="003E7C36" w:rsidP="003E7C36">
      <w:pPr>
        <w:pStyle w:val="ListParagraph"/>
        <w:numPr>
          <w:ilvl w:val="1"/>
          <w:numId w:val="9"/>
        </w:numPr>
        <w:spacing w:after="0" w:line="240" w:lineRule="auto"/>
      </w:pPr>
      <w:r>
        <w:t>The sample size methodology is based on a fixed number of participant records, the required data elements selected for review are identified on each PY21 Program Participant File Checklists, being reviewed per the resources available. The sample includes a mix of active and exited participant records.</w:t>
      </w:r>
    </w:p>
    <w:p w14:paraId="33A8FC78" w14:textId="69EE5856" w:rsidR="000F50EF" w:rsidRDefault="002C53FE" w:rsidP="003E7C36">
      <w:pPr>
        <w:pStyle w:val="ListParagraph"/>
        <w:numPr>
          <w:ilvl w:val="0"/>
          <w:numId w:val="9"/>
        </w:numPr>
        <w:spacing w:after="0" w:line="240" w:lineRule="auto"/>
      </w:pPr>
      <w:r>
        <w:t>Sample size and methodology</w:t>
      </w:r>
      <w:r w:rsidR="003E7C36">
        <w:t xml:space="preserve"> for Monitoring Visits to Workforce Development Areas: </w:t>
      </w:r>
      <w:r w:rsidR="000F50EF">
        <w:t xml:space="preserve"> </w:t>
      </w:r>
    </w:p>
    <w:p w14:paraId="3B78A38D" w14:textId="4A1236C8" w:rsidR="00622BA5" w:rsidRDefault="00622BA5" w:rsidP="00B87267">
      <w:pPr>
        <w:pStyle w:val="ListParagraph"/>
        <w:numPr>
          <w:ilvl w:val="0"/>
          <w:numId w:val="6"/>
        </w:numPr>
        <w:spacing w:after="0" w:line="240" w:lineRule="auto"/>
        <w:ind w:left="1440"/>
      </w:pPr>
      <w:r>
        <w:t>When formal reviews begin, the sample will be pulled based on the Workforce Development Area and then a sample of at least 5 records from the offices selected for monitoring within the area</w:t>
      </w:r>
      <w:r w:rsidR="00C739E6">
        <w:t xml:space="preserve"> when </w:t>
      </w:r>
      <w:r w:rsidR="00CC39B5">
        <w:t>possible,</w:t>
      </w:r>
      <w:r w:rsidR="00C739E6">
        <w:t xml:space="preserve"> based on the sample</w:t>
      </w:r>
      <w:r>
        <w:t xml:space="preserve">. These will include some MSFW if available. </w:t>
      </w:r>
    </w:p>
    <w:p w14:paraId="50B4FA79" w14:textId="2D6C45FE" w:rsidR="00867D1F" w:rsidRDefault="002C53FE" w:rsidP="00B87267">
      <w:pPr>
        <w:pStyle w:val="ListParagraph"/>
        <w:numPr>
          <w:ilvl w:val="0"/>
          <w:numId w:val="6"/>
        </w:numPr>
        <w:spacing w:after="0" w:line="240" w:lineRule="auto"/>
        <w:ind w:left="1440"/>
      </w:pPr>
      <w:r>
        <w:t>The sample size methodology is based on a fixed number of participant records, the</w:t>
      </w:r>
      <w:r w:rsidR="00867D1F">
        <w:t xml:space="preserve"> </w:t>
      </w:r>
      <w:r>
        <w:t xml:space="preserve">required data elements selected for review are identified on each </w:t>
      </w:r>
      <w:r w:rsidR="00C40E7D">
        <w:t>PY21</w:t>
      </w:r>
      <w:r w:rsidR="00622BA5">
        <w:t xml:space="preserve"> </w:t>
      </w:r>
      <w:r>
        <w:t>Program Participant File Checklists, being reviewed per the resources available. The</w:t>
      </w:r>
      <w:r w:rsidR="00867D1F">
        <w:t xml:space="preserve"> </w:t>
      </w:r>
      <w:r>
        <w:t xml:space="preserve">sample includes a mix of active and exited participant records. </w:t>
      </w:r>
    </w:p>
    <w:p w14:paraId="2DC5FF76" w14:textId="77777777" w:rsidR="00622BA5" w:rsidRDefault="00622BA5" w:rsidP="00B87267">
      <w:pPr>
        <w:spacing w:after="0" w:line="240" w:lineRule="auto"/>
        <w:ind w:left="-720"/>
      </w:pPr>
    </w:p>
    <w:p w14:paraId="5A75E4CB" w14:textId="1A879496" w:rsidR="00985E15" w:rsidRDefault="00985E15" w:rsidP="00867D1F">
      <w:pPr>
        <w:pStyle w:val="ListParagraph"/>
        <w:numPr>
          <w:ilvl w:val="0"/>
          <w:numId w:val="9"/>
        </w:numPr>
      </w:pPr>
      <w:r>
        <w:t xml:space="preserve">Monitoring provides </w:t>
      </w:r>
      <w:r w:rsidRPr="00C10425">
        <w:t xml:space="preserve">ESD’s </w:t>
      </w:r>
      <w:r>
        <w:t xml:space="preserve">Data Integrity Team with the sampled records to obtain the identified wage data elements that are data validated by </w:t>
      </w:r>
      <w:r w:rsidRPr="00C10425">
        <w:t xml:space="preserve">ESD’s </w:t>
      </w:r>
      <w:r>
        <w:t>Data Integrity Team.</w:t>
      </w:r>
    </w:p>
    <w:p w14:paraId="121FDF9E" w14:textId="77777777" w:rsidR="00985E15" w:rsidRDefault="00985E15" w:rsidP="00985E15">
      <w:pPr>
        <w:pStyle w:val="ListParagraph"/>
        <w:numPr>
          <w:ilvl w:val="1"/>
          <w:numId w:val="3"/>
        </w:numPr>
      </w:pPr>
      <w:r w:rsidRPr="00C10425">
        <w:t xml:space="preserve">ESD’s </w:t>
      </w:r>
      <w:r>
        <w:t>Data Integrity Team validates the following data elements: 1600-1607; 1614-1618 (1610, 1612, and 1613 elements are not being populated at this time); 1700-1706.</w:t>
      </w:r>
    </w:p>
    <w:p w14:paraId="6BD2587C" w14:textId="107DEE24" w:rsidR="00985E15" w:rsidRDefault="00985E15" w:rsidP="00985E15">
      <w:pPr>
        <w:pStyle w:val="ListParagraph"/>
        <w:numPr>
          <w:ilvl w:val="1"/>
          <w:numId w:val="3"/>
        </w:numPr>
      </w:pPr>
      <w:r>
        <w:t>Monitoring validates all other data elements as identified in each program’s DEV Worksheet.</w:t>
      </w:r>
    </w:p>
    <w:p w14:paraId="4A259D9D" w14:textId="77777777" w:rsidR="004D26B0" w:rsidRDefault="004D26B0" w:rsidP="004D26B0">
      <w:pPr>
        <w:pStyle w:val="ListParagraph"/>
        <w:ind w:left="1440"/>
      </w:pPr>
    </w:p>
    <w:p w14:paraId="7E6D12BF" w14:textId="366E12A2" w:rsidR="002C53FE" w:rsidRDefault="002C53FE" w:rsidP="00867D1F">
      <w:pPr>
        <w:pStyle w:val="ListParagraph"/>
        <w:numPr>
          <w:ilvl w:val="0"/>
          <w:numId w:val="9"/>
        </w:numPr>
        <w:spacing w:after="0" w:line="240" w:lineRule="auto"/>
      </w:pPr>
      <w:r>
        <w:t>Timelines and documentation of error resolution:</w:t>
      </w:r>
    </w:p>
    <w:p w14:paraId="4BC82E37" w14:textId="079C48FF" w:rsidR="002C53FE" w:rsidRPr="00BE6E64" w:rsidRDefault="002C53FE" w:rsidP="000A4163">
      <w:pPr>
        <w:pStyle w:val="ListParagraph"/>
        <w:numPr>
          <w:ilvl w:val="0"/>
          <w:numId w:val="4"/>
        </w:numPr>
        <w:spacing w:after="0" w:line="240" w:lineRule="auto"/>
      </w:pPr>
      <w:r>
        <w:t>Once the review is completed, Monitoring will provide the</w:t>
      </w:r>
      <w:r w:rsidR="004D26B0">
        <w:t xml:space="preserve"> WorkSource Office </w:t>
      </w:r>
      <w:r>
        <w:t>and</w:t>
      </w:r>
      <w:r w:rsidR="004D26B0">
        <w:t xml:space="preserve"> Program Operator </w:t>
      </w:r>
      <w:r>
        <w:t>with the DEV Worksheets showing items that failed and they will</w:t>
      </w:r>
      <w:r w:rsidR="000A4163">
        <w:t xml:space="preserve"> </w:t>
      </w:r>
      <w:r>
        <w:t xml:space="preserve">be required to resolve the items identified and communicate to </w:t>
      </w:r>
      <w:r w:rsidR="001B0316">
        <w:t xml:space="preserve">the Monitoring </w:t>
      </w:r>
      <w:r>
        <w:t>when</w:t>
      </w:r>
      <w:r w:rsidR="000A4163">
        <w:t xml:space="preserve"> </w:t>
      </w:r>
      <w:r>
        <w:t>resolved or, if</w:t>
      </w:r>
      <w:r w:rsidR="000A4163">
        <w:t xml:space="preserve"> </w:t>
      </w:r>
      <w:r>
        <w:t xml:space="preserve">they can’t, why they </w:t>
      </w:r>
      <w:r w:rsidRPr="00BE6E64">
        <w:t>can’t.</w:t>
      </w:r>
    </w:p>
    <w:p w14:paraId="4800EFE5" w14:textId="26344346" w:rsidR="004D26B0" w:rsidRDefault="00D85695" w:rsidP="004D26B0">
      <w:pPr>
        <w:pStyle w:val="ListParagraph"/>
        <w:numPr>
          <w:ilvl w:val="0"/>
          <w:numId w:val="4"/>
        </w:numPr>
      </w:pPr>
      <w:r w:rsidRPr="00BE6E64">
        <w:t xml:space="preserve">The DEV Worksheets will identify passes and failures for each record by element. A comment will be added to each cell in the worksheet with a failure value, identifying the cause of the failure. </w:t>
      </w:r>
      <w:r w:rsidR="004D26B0" w:rsidRPr="004D26B0">
        <w:t xml:space="preserve">WorkSource Office failures will be color coded light orange, Program Operations failures will be color coded </w:t>
      </w:r>
      <w:r w:rsidR="004D26B0">
        <w:t>l</w:t>
      </w:r>
      <w:r w:rsidR="004D26B0" w:rsidRPr="004D26B0">
        <w:t>avender, and the ESD’s ITSD Unit and Data Integrity Team for MIS system issues will be color coded bright yellow.</w:t>
      </w:r>
      <w:r w:rsidR="004D26B0">
        <w:t xml:space="preserve"> </w:t>
      </w:r>
    </w:p>
    <w:p w14:paraId="5D44E5A4" w14:textId="77777777" w:rsidR="004D26B0" w:rsidRDefault="004D26B0" w:rsidP="004D26B0">
      <w:pPr>
        <w:pStyle w:val="ListParagraph"/>
        <w:ind w:left="1440"/>
      </w:pPr>
    </w:p>
    <w:p w14:paraId="11BB02E4" w14:textId="150DA85F" w:rsidR="00D85695" w:rsidRDefault="00D85695" w:rsidP="004D26B0">
      <w:pPr>
        <w:pStyle w:val="ListParagraph"/>
        <w:ind w:left="1440"/>
      </w:pPr>
      <w:r>
        <w:t xml:space="preserve">Standardized language to explain record failure for an element:  </w:t>
      </w:r>
    </w:p>
    <w:p w14:paraId="4E6A9621" w14:textId="7A257F64" w:rsidR="00D85695" w:rsidRDefault="00D85695" w:rsidP="00D85695">
      <w:pPr>
        <w:pStyle w:val="ListParagraph"/>
        <w:numPr>
          <w:ilvl w:val="0"/>
          <w:numId w:val="10"/>
        </w:numPr>
        <w:ind w:left="2880"/>
      </w:pPr>
      <w:bookmarkStart w:id="0" w:name="_Hlk81561710"/>
      <w:r>
        <w:lastRenderedPageBreak/>
        <w:t>No source documentation located</w:t>
      </w:r>
    </w:p>
    <w:bookmarkEnd w:id="0"/>
    <w:p w14:paraId="6A0E5DC2" w14:textId="77777777" w:rsidR="00D85695" w:rsidRDefault="00D85695" w:rsidP="00D85695">
      <w:pPr>
        <w:pStyle w:val="ListParagraph"/>
        <w:numPr>
          <w:ilvl w:val="0"/>
          <w:numId w:val="10"/>
        </w:numPr>
        <w:ind w:left="2880"/>
      </w:pPr>
      <w:r>
        <w:t>Documentation located, unallowable source</w:t>
      </w:r>
    </w:p>
    <w:p w14:paraId="442FB949" w14:textId="77777777" w:rsidR="00D85695" w:rsidRDefault="00D85695" w:rsidP="00D85695">
      <w:pPr>
        <w:pStyle w:val="ListParagraph"/>
        <w:numPr>
          <w:ilvl w:val="0"/>
          <w:numId w:val="10"/>
        </w:numPr>
        <w:ind w:left="2880"/>
      </w:pPr>
      <w:r>
        <w:t>Documentation located, unreadable</w:t>
      </w:r>
    </w:p>
    <w:p w14:paraId="75E40F3E" w14:textId="77777777" w:rsidR="00D85695" w:rsidRDefault="00D85695" w:rsidP="00D85695">
      <w:pPr>
        <w:pStyle w:val="ListParagraph"/>
        <w:numPr>
          <w:ilvl w:val="0"/>
          <w:numId w:val="10"/>
        </w:numPr>
        <w:ind w:left="2880"/>
      </w:pPr>
      <w:r>
        <w:t>Documentation located, inaccurately recorded data</w:t>
      </w:r>
    </w:p>
    <w:p w14:paraId="4929A2AD" w14:textId="77777777" w:rsidR="00D85695" w:rsidRDefault="00D85695" w:rsidP="00D85695">
      <w:pPr>
        <w:pStyle w:val="ListParagraph"/>
        <w:numPr>
          <w:ilvl w:val="0"/>
          <w:numId w:val="10"/>
        </w:numPr>
        <w:ind w:left="2880"/>
      </w:pPr>
      <w:r>
        <w:t>Documentation located, data was not recorded</w:t>
      </w:r>
    </w:p>
    <w:p w14:paraId="5D52A914" w14:textId="77777777" w:rsidR="00D85695" w:rsidRDefault="00D85695" w:rsidP="00D85695">
      <w:pPr>
        <w:pStyle w:val="ListParagraph"/>
        <w:numPr>
          <w:ilvl w:val="0"/>
          <w:numId w:val="10"/>
        </w:numPr>
        <w:ind w:left="2880"/>
      </w:pPr>
      <w:r w:rsidRPr="00E93318">
        <w:t>Documentation located, inconsistent with other documentation</w:t>
      </w:r>
    </w:p>
    <w:p w14:paraId="472D4320" w14:textId="77777777" w:rsidR="00D85695" w:rsidRPr="00E93318" w:rsidRDefault="00D85695" w:rsidP="00D85695">
      <w:pPr>
        <w:pStyle w:val="ListParagraph"/>
        <w:numPr>
          <w:ilvl w:val="0"/>
          <w:numId w:val="10"/>
        </w:numPr>
        <w:ind w:left="2880"/>
      </w:pPr>
      <w:r>
        <w:t>MIS system issue</w:t>
      </w:r>
    </w:p>
    <w:p w14:paraId="2E74FAD1" w14:textId="77777777" w:rsidR="00D85695" w:rsidRPr="00E93318" w:rsidRDefault="00D85695" w:rsidP="00D85695">
      <w:pPr>
        <w:ind w:left="2160"/>
      </w:pPr>
      <w:r w:rsidRPr="00E93318">
        <w:t>Actions required to correct errors by type of failure:</w:t>
      </w:r>
    </w:p>
    <w:p w14:paraId="6E3A8BF2" w14:textId="77777777" w:rsidR="00BE6E64" w:rsidRDefault="00BE6E64" w:rsidP="00D85695">
      <w:pPr>
        <w:pStyle w:val="ListParagraph"/>
        <w:numPr>
          <w:ilvl w:val="0"/>
          <w:numId w:val="11"/>
        </w:numPr>
        <w:ind w:left="2880"/>
      </w:pPr>
      <w:r w:rsidRPr="00E93318">
        <w:t xml:space="preserve">Locate or attempt to collect missing source documentation </w:t>
      </w:r>
    </w:p>
    <w:p w14:paraId="63CE87B6" w14:textId="602B0A64" w:rsidR="00D85695" w:rsidRPr="00E93318" w:rsidRDefault="00D85695" w:rsidP="00D85695">
      <w:pPr>
        <w:pStyle w:val="ListParagraph"/>
        <w:numPr>
          <w:ilvl w:val="0"/>
          <w:numId w:val="11"/>
        </w:numPr>
        <w:ind w:left="2880"/>
      </w:pPr>
      <w:r w:rsidRPr="00E93318">
        <w:t>Locate or attempt to collect allowable source documentation</w:t>
      </w:r>
    </w:p>
    <w:p w14:paraId="05393D78" w14:textId="77777777" w:rsidR="00D85695" w:rsidRPr="00E93318" w:rsidRDefault="00D85695" w:rsidP="00D85695">
      <w:pPr>
        <w:pStyle w:val="ListParagraph"/>
        <w:numPr>
          <w:ilvl w:val="0"/>
          <w:numId w:val="11"/>
        </w:numPr>
        <w:ind w:left="2880"/>
      </w:pPr>
      <w:r w:rsidRPr="00E93318">
        <w:t>Locate or attempt to collect a readable copy of source documentation</w:t>
      </w:r>
    </w:p>
    <w:p w14:paraId="7FF7CABB" w14:textId="77777777" w:rsidR="00D85695" w:rsidRPr="00E93318" w:rsidRDefault="00D85695" w:rsidP="00D85695">
      <w:pPr>
        <w:pStyle w:val="ListParagraph"/>
        <w:numPr>
          <w:ilvl w:val="0"/>
          <w:numId w:val="11"/>
        </w:numPr>
        <w:ind w:left="2880"/>
      </w:pPr>
      <w:r w:rsidRPr="00E93318">
        <w:t xml:space="preserve">Correct the inaccurately recorded data </w:t>
      </w:r>
    </w:p>
    <w:p w14:paraId="6029533B" w14:textId="77777777" w:rsidR="00D85695" w:rsidRPr="00E93318" w:rsidRDefault="00D85695" w:rsidP="00D85695">
      <w:pPr>
        <w:pStyle w:val="ListParagraph"/>
        <w:numPr>
          <w:ilvl w:val="0"/>
          <w:numId w:val="11"/>
        </w:numPr>
        <w:ind w:left="2880"/>
      </w:pPr>
      <w:r w:rsidRPr="00E93318">
        <w:t>Record the missing data</w:t>
      </w:r>
    </w:p>
    <w:p w14:paraId="2C6ADC78" w14:textId="77777777" w:rsidR="00D85695" w:rsidRDefault="00D85695" w:rsidP="00D85695">
      <w:pPr>
        <w:pStyle w:val="ListParagraph"/>
        <w:numPr>
          <w:ilvl w:val="0"/>
          <w:numId w:val="11"/>
        </w:numPr>
        <w:ind w:left="2880"/>
      </w:pPr>
      <w:r w:rsidRPr="00E93318">
        <w:t>Resolve the inconsistency and ensure accuracy of data and/or source documentation appropriately</w:t>
      </w:r>
    </w:p>
    <w:p w14:paraId="1A98BFDD" w14:textId="77777777" w:rsidR="00D85695" w:rsidRPr="00D15CCC" w:rsidRDefault="00D85695" w:rsidP="00D85695">
      <w:pPr>
        <w:pStyle w:val="ListParagraph"/>
        <w:numPr>
          <w:ilvl w:val="0"/>
          <w:numId w:val="11"/>
        </w:numPr>
        <w:ind w:left="2880"/>
      </w:pPr>
      <w:r>
        <w:t xml:space="preserve">ESD’s ITSD and </w:t>
      </w:r>
      <w:r w:rsidRPr="00D15CCC">
        <w:t xml:space="preserve">Data Integrity Team will look into the root cause and work towards resolution of the MIS system issue. </w:t>
      </w:r>
    </w:p>
    <w:p w14:paraId="4227CCD4" w14:textId="77777777" w:rsidR="00D85695" w:rsidRDefault="00D85695" w:rsidP="00D85695">
      <w:pPr>
        <w:pStyle w:val="ListParagraph"/>
        <w:ind w:left="2160"/>
      </w:pPr>
    </w:p>
    <w:p w14:paraId="2C5A0CCC" w14:textId="77777777" w:rsidR="004D26B0" w:rsidRDefault="004D26B0" w:rsidP="004D26B0">
      <w:pPr>
        <w:pStyle w:val="ListParagraph"/>
        <w:numPr>
          <w:ilvl w:val="1"/>
          <w:numId w:val="3"/>
        </w:numPr>
      </w:pPr>
      <w:r w:rsidRPr="003E22F0">
        <w:t xml:space="preserve">The </w:t>
      </w:r>
      <w:r>
        <w:t xml:space="preserve">Local WorkSource Office, will have </w:t>
      </w:r>
      <w:r w:rsidRPr="00430871">
        <w:rPr>
          <w:u w:val="single"/>
        </w:rPr>
        <w:t>30 business days</w:t>
      </w:r>
      <w:r>
        <w:t xml:space="preserve"> from the day they receive their DEV worksheet to resolve errors, document resolution and outcome, or reason for failure to resolve an item in their respective worksheets.  </w:t>
      </w:r>
      <w:r w:rsidRPr="0091391A">
        <w:t>The reply feature in each comment will be used to document and communicate the resolution, or reason for failure to resolve</w:t>
      </w:r>
      <w:r>
        <w:t xml:space="preserve"> an element</w:t>
      </w:r>
      <w:r w:rsidRPr="0091391A">
        <w:t xml:space="preserve">, or </w:t>
      </w:r>
      <w:r>
        <w:t>a</w:t>
      </w:r>
      <w:r w:rsidRPr="0091391A">
        <w:t xml:space="preserve"> corrective action </w:t>
      </w:r>
      <w:r>
        <w:t>plan</w:t>
      </w:r>
      <w:r w:rsidRPr="0091391A">
        <w:t xml:space="preserve">. </w:t>
      </w:r>
    </w:p>
    <w:p w14:paraId="3A7DA324" w14:textId="77777777" w:rsidR="00A01A4E" w:rsidRDefault="00D85695" w:rsidP="00A01A4E">
      <w:pPr>
        <w:pStyle w:val="ListParagraph"/>
        <w:numPr>
          <w:ilvl w:val="1"/>
          <w:numId w:val="3"/>
        </w:numPr>
      </w:pPr>
      <w:r w:rsidRPr="007E22A3">
        <w:t xml:space="preserve">The data Element Pass / Fail column in the DEV Worksheet indicates whether each data element passed or failed based on exceeding the 10% programmatic pass/fail ratio as prescribed in ESD Policy 1003, Rev. 2. </w:t>
      </w:r>
      <w:r w:rsidR="004D26B0">
        <w:t xml:space="preserve">The results of DEV over the quarter will be reviewed with Wagner-Peyser Program Operations and ESD’s ITSD Unit and Data Integrity Team. </w:t>
      </w:r>
      <w:r w:rsidR="004D26B0" w:rsidRPr="003E22F0">
        <w:t xml:space="preserve">If any element fails across the quarter, the </w:t>
      </w:r>
      <w:r w:rsidR="004D26B0">
        <w:t>owner of the respective failure</w:t>
      </w:r>
      <w:r w:rsidR="004D26B0" w:rsidRPr="008C6EF4">
        <w:t xml:space="preserve"> </w:t>
      </w:r>
      <w:r w:rsidR="004D26B0">
        <w:t xml:space="preserve">will be required to develop and submit a corrective action plan </w:t>
      </w:r>
      <w:r w:rsidR="004D26B0" w:rsidRPr="003E22F0">
        <w:t>for those element failures that exceed the 10% programmatic pass/fail ratio</w:t>
      </w:r>
      <w:r w:rsidR="004D26B0">
        <w:t>.</w:t>
      </w:r>
    </w:p>
    <w:p w14:paraId="7D341099" w14:textId="5AF80F8C" w:rsidR="00127EA5" w:rsidRDefault="00A01A4E" w:rsidP="00A01A4E">
      <w:pPr>
        <w:pStyle w:val="ListParagraph"/>
        <w:numPr>
          <w:ilvl w:val="1"/>
          <w:numId w:val="3"/>
        </w:numPr>
      </w:pPr>
      <w:r>
        <w:t>At the ESD Wagner-Peyser leadership level, a quarterly DEV worksheet will be sent to Wagner-Peyser Program Operations</w:t>
      </w:r>
      <w:r w:rsidRPr="003E22F0">
        <w:t xml:space="preserve">, ESD’s ITSD </w:t>
      </w:r>
      <w:r>
        <w:t>U</w:t>
      </w:r>
      <w:r w:rsidRPr="003E22F0">
        <w:t>nit</w:t>
      </w:r>
      <w:r>
        <w:t>,</w:t>
      </w:r>
      <w:r w:rsidRPr="003E22F0">
        <w:t xml:space="preserve"> and Data Integrity Team </w:t>
      </w:r>
      <w:r>
        <w:t xml:space="preserve">to use in submitting a response to </w:t>
      </w:r>
      <w:r w:rsidRPr="0091391A">
        <w:t>the Monitoring unit</w:t>
      </w:r>
      <w:r>
        <w:t xml:space="preserve"> within</w:t>
      </w:r>
      <w:r w:rsidRPr="003E22F0">
        <w:t xml:space="preserve"> </w:t>
      </w:r>
      <w:r w:rsidRPr="00A01A4E">
        <w:rPr>
          <w:u w:val="single"/>
        </w:rPr>
        <w:t>30 business days</w:t>
      </w:r>
      <w:r w:rsidRPr="003E22F0">
        <w:t xml:space="preserve"> from the day they receive the</w:t>
      </w:r>
      <w:r>
        <w:t>ir</w:t>
      </w:r>
      <w:r w:rsidRPr="003E22F0">
        <w:t xml:space="preserve"> </w:t>
      </w:r>
      <w:r>
        <w:t>w</w:t>
      </w:r>
      <w:r w:rsidRPr="0091391A">
        <w:t>orksheet</w:t>
      </w:r>
      <w:r>
        <w:t xml:space="preserve">.  The respective leadership group will </w:t>
      </w:r>
      <w:r w:rsidRPr="0091391A">
        <w:t>send the</w:t>
      </w:r>
      <w:r>
        <w:t>ir</w:t>
      </w:r>
      <w:r w:rsidRPr="0091391A">
        <w:t xml:space="preserve"> completed worksheets </w:t>
      </w:r>
      <w:r>
        <w:t>and any required corrective action plan to the Monitoring Unit.  T</w:t>
      </w:r>
      <w:r w:rsidRPr="0091391A">
        <w:t xml:space="preserve">he reply feature in each comment </w:t>
      </w:r>
      <w:r>
        <w:t xml:space="preserve">is used </w:t>
      </w:r>
      <w:r w:rsidRPr="0091391A">
        <w:t xml:space="preserve">to </w:t>
      </w:r>
      <w:r>
        <w:t>communicate r</w:t>
      </w:r>
      <w:r w:rsidRPr="0091391A">
        <w:t>esolve</w:t>
      </w:r>
      <w:r>
        <w:t>d</w:t>
      </w:r>
      <w:r w:rsidRPr="0091391A">
        <w:t xml:space="preserve"> errors, document resolution and outcome, or reason for failure to resolve </w:t>
      </w:r>
      <w:r>
        <w:t xml:space="preserve">an item </w:t>
      </w:r>
      <w:r w:rsidRPr="0091391A">
        <w:t>in the</w:t>
      </w:r>
      <w:r>
        <w:t>ir</w:t>
      </w:r>
      <w:r w:rsidRPr="0091391A">
        <w:t xml:space="preserve"> respective program worksheets</w:t>
      </w:r>
      <w:r>
        <w:t>.</w:t>
      </w:r>
    </w:p>
    <w:sectPr w:rsidR="00127E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1511" w14:textId="77777777" w:rsidR="00523139" w:rsidRDefault="00523139" w:rsidP="009C2DF7">
      <w:pPr>
        <w:spacing w:after="0" w:line="240" w:lineRule="auto"/>
      </w:pPr>
      <w:r>
        <w:separator/>
      </w:r>
    </w:p>
  </w:endnote>
  <w:endnote w:type="continuationSeparator" w:id="0">
    <w:p w14:paraId="775F503F" w14:textId="77777777" w:rsidR="00523139" w:rsidRDefault="00523139" w:rsidP="009C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9824" w14:textId="77777777" w:rsidR="00523139" w:rsidRDefault="00523139" w:rsidP="009C2DF7">
      <w:pPr>
        <w:spacing w:after="0" w:line="240" w:lineRule="auto"/>
      </w:pPr>
      <w:r>
        <w:separator/>
      </w:r>
    </w:p>
  </w:footnote>
  <w:footnote w:type="continuationSeparator" w:id="0">
    <w:p w14:paraId="366904FE" w14:textId="77777777" w:rsidR="00523139" w:rsidRDefault="00523139" w:rsidP="009C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37D0" w14:textId="77777777" w:rsidR="009C2DF7" w:rsidRPr="009C2DF7" w:rsidRDefault="009C2DF7" w:rsidP="009C2DF7">
    <w:pPr>
      <w:spacing w:after="0" w:line="240" w:lineRule="auto"/>
      <w:jc w:val="center"/>
      <w:rPr>
        <w:b/>
        <w:bCs/>
        <w:sz w:val="28"/>
        <w:szCs w:val="28"/>
      </w:rPr>
    </w:pPr>
    <w:r w:rsidRPr="009C2DF7">
      <w:rPr>
        <w:b/>
        <w:bCs/>
        <w:sz w:val="28"/>
        <w:szCs w:val="28"/>
      </w:rPr>
      <w:t>Wagner-Peyser PY21 DEV Scope of Review</w:t>
    </w:r>
  </w:p>
  <w:p w14:paraId="4E7DDD10" w14:textId="77777777" w:rsidR="009C2DF7" w:rsidRPr="009C2DF7" w:rsidRDefault="009C2DF7" w:rsidP="009C2DF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C49"/>
    <w:multiLevelType w:val="hybridMultilevel"/>
    <w:tmpl w:val="39D64B5E"/>
    <w:lvl w:ilvl="0" w:tplc="74CE89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B65AB9"/>
    <w:multiLevelType w:val="hybridMultilevel"/>
    <w:tmpl w:val="C080968C"/>
    <w:lvl w:ilvl="0" w:tplc="4EEC1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E1A14"/>
    <w:multiLevelType w:val="hybridMultilevel"/>
    <w:tmpl w:val="2A242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2172"/>
    <w:multiLevelType w:val="hybridMultilevel"/>
    <w:tmpl w:val="D0169AF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B13C70"/>
    <w:multiLevelType w:val="hybridMultilevel"/>
    <w:tmpl w:val="4482A7E2"/>
    <w:lvl w:ilvl="0" w:tplc="C2BE86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903BDB"/>
    <w:multiLevelType w:val="hybridMultilevel"/>
    <w:tmpl w:val="B582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34BC"/>
    <w:multiLevelType w:val="hybridMultilevel"/>
    <w:tmpl w:val="942AB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ED057C"/>
    <w:multiLevelType w:val="hybridMultilevel"/>
    <w:tmpl w:val="11B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65247"/>
    <w:multiLevelType w:val="hybridMultilevel"/>
    <w:tmpl w:val="7C4605A6"/>
    <w:lvl w:ilvl="0" w:tplc="84F67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05C01"/>
    <w:multiLevelType w:val="hybridMultilevel"/>
    <w:tmpl w:val="0D42FE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70E9F"/>
    <w:multiLevelType w:val="hybridMultilevel"/>
    <w:tmpl w:val="52A4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6433"/>
    <w:multiLevelType w:val="hybridMultilevel"/>
    <w:tmpl w:val="849AAE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FE"/>
    <w:rsid w:val="000A4163"/>
    <w:rsid w:val="000F50EF"/>
    <w:rsid w:val="00127EA5"/>
    <w:rsid w:val="001B0316"/>
    <w:rsid w:val="002378DF"/>
    <w:rsid w:val="002C53FE"/>
    <w:rsid w:val="003C11F6"/>
    <w:rsid w:val="003E7C36"/>
    <w:rsid w:val="004D26B0"/>
    <w:rsid w:val="00523139"/>
    <w:rsid w:val="00622BA5"/>
    <w:rsid w:val="006A4C1B"/>
    <w:rsid w:val="00707A28"/>
    <w:rsid w:val="007E22A3"/>
    <w:rsid w:val="00812BBB"/>
    <w:rsid w:val="0082193E"/>
    <w:rsid w:val="008338D3"/>
    <w:rsid w:val="008458E9"/>
    <w:rsid w:val="00867D1F"/>
    <w:rsid w:val="008C5F83"/>
    <w:rsid w:val="0098052A"/>
    <w:rsid w:val="00985E15"/>
    <w:rsid w:val="009C2DF7"/>
    <w:rsid w:val="009D2228"/>
    <w:rsid w:val="00A01A4E"/>
    <w:rsid w:val="00B87267"/>
    <w:rsid w:val="00BE6E64"/>
    <w:rsid w:val="00C40E7D"/>
    <w:rsid w:val="00C739E6"/>
    <w:rsid w:val="00CA0ACE"/>
    <w:rsid w:val="00CC39B5"/>
    <w:rsid w:val="00D07C06"/>
    <w:rsid w:val="00D30E10"/>
    <w:rsid w:val="00D741AF"/>
    <w:rsid w:val="00D85695"/>
    <w:rsid w:val="00DD50C8"/>
    <w:rsid w:val="00DE1311"/>
    <w:rsid w:val="00F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EA8F"/>
  <w15:chartTrackingRefBased/>
  <w15:docId w15:val="{17108BE2-57AF-4286-93BC-327ECAE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F7"/>
  </w:style>
  <w:style w:type="paragraph" w:styleId="Footer">
    <w:name w:val="footer"/>
    <w:basedOn w:val="Normal"/>
    <w:link w:val="FooterChar"/>
    <w:uiPriority w:val="99"/>
    <w:unhideWhenUsed/>
    <w:rsid w:val="009C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F7"/>
  </w:style>
  <w:style w:type="character" w:styleId="CommentReference">
    <w:name w:val="annotation reference"/>
    <w:basedOn w:val="DefaultParagraphFont"/>
    <w:uiPriority w:val="99"/>
    <w:semiHidden/>
    <w:unhideWhenUsed/>
    <w:rsid w:val="00985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Jamie (ESD)</dc:creator>
  <cp:keywords/>
  <dc:description/>
  <cp:lastModifiedBy>Murphy, Jamie (ESD)</cp:lastModifiedBy>
  <cp:revision>3</cp:revision>
  <dcterms:created xsi:type="dcterms:W3CDTF">2022-06-21T15:28:00Z</dcterms:created>
  <dcterms:modified xsi:type="dcterms:W3CDTF">2022-06-29T15:55:00Z</dcterms:modified>
</cp:coreProperties>
</file>