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35" w:type="dxa"/>
        <w:tblLook w:val="04A0" w:firstRow="1" w:lastRow="0" w:firstColumn="1" w:lastColumn="0" w:noHBand="0" w:noVBand="1"/>
      </w:tblPr>
      <w:tblGrid>
        <w:gridCol w:w="2515"/>
        <w:gridCol w:w="1260"/>
        <w:gridCol w:w="3240"/>
        <w:gridCol w:w="3240"/>
        <w:gridCol w:w="2700"/>
        <w:gridCol w:w="1980"/>
      </w:tblGrid>
      <w:tr w:rsidR="002420CB" w:rsidTr="00BC5133">
        <w:trPr>
          <w:trHeight w:val="5327"/>
        </w:trPr>
        <w:tc>
          <w:tcPr>
            <w:tcW w:w="2515" w:type="dxa"/>
            <w:tcBorders>
              <w:top w:val="single" w:sz="4" w:space="0" w:color="auto"/>
            </w:tcBorders>
          </w:tcPr>
          <w:p w:rsidR="002420CB" w:rsidRPr="00032274" w:rsidRDefault="002420CB" w:rsidP="002420CB">
            <w:pPr>
              <w:rPr>
                <w:rFonts w:cstheme="minorHAnsi"/>
                <w:sz w:val="16"/>
                <w:szCs w:val="16"/>
              </w:rPr>
            </w:pPr>
            <w:r w:rsidRPr="00032274">
              <w:rPr>
                <w:rFonts w:cstheme="minorHAnsi"/>
                <w:b/>
                <w:sz w:val="16"/>
                <w:szCs w:val="16"/>
              </w:rPr>
              <w:t>Task 1</w:t>
            </w:r>
            <w:r w:rsidRPr="00032274">
              <w:rPr>
                <w:rFonts w:cstheme="minorHAnsi"/>
                <w:sz w:val="16"/>
                <w:szCs w:val="16"/>
              </w:rPr>
              <w:t xml:space="preserve">: </w:t>
            </w:r>
            <w:r>
              <w:rPr>
                <w:rFonts w:cstheme="minorHAnsi"/>
                <w:sz w:val="16"/>
                <w:szCs w:val="16"/>
              </w:rPr>
              <w:t>Partnership</w:t>
            </w:r>
          </w:p>
          <w:p w:rsidR="002420CB" w:rsidRPr="00032274" w:rsidRDefault="002420CB" w:rsidP="002420CB">
            <w:pPr>
              <w:rPr>
                <w:rFonts w:cstheme="minorHAnsi"/>
                <w:sz w:val="16"/>
                <w:szCs w:val="16"/>
              </w:rPr>
            </w:pPr>
          </w:p>
          <w:p w:rsidR="002420CB" w:rsidRDefault="002420CB" w:rsidP="002420CB">
            <w:pPr>
              <w:rPr>
                <w:rFonts w:cstheme="minorHAnsi"/>
                <w:sz w:val="16"/>
                <w:szCs w:val="16"/>
              </w:rPr>
            </w:pPr>
            <w:r>
              <w:rPr>
                <w:rFonts w:cstheme="minorHAnsi"/>
                <w:sz w:val="16"/>
                <w:szCs w:val="16"/>
              </w:rPr>
              <w:t>To combine successful local models and coordinate existing, disparate efforts to help move more families up out of poverty and measurably reduce total poverty in the target community.</w:t>
            </w:r>
          </w:p>
          <w:p w:rsidR="002420CB" w:rsidRDefault="002420CB" w:rsidP="002420CB">
            <w:pPr>
              <w:rPr>
                <w:rFonts w:cstheme="minorHAnsi"/>
                <w:sz w:val="16"/>
                <w:szCs w:val="16"/>
              </w:rPr>
            </w:pPr>
          </w:p>
          <w:p w:rsidR="002420CB" w:rsidRPr="00D34C70" w:rsidRDefault="002420CB" w:rsidP="002420CB">
            <w:pPr>
              <w:rPr>
                <w:rFonts w:cstheme="minorHAnsi"/>
                <w:sz w:val="14"/>
                <w:szCs w:val="14"/>
              </w:rPr>
            </w:pPr>
          </w:p>
        </w:tc>
        <w:tc>
          <w:tcPr>
            <w:tcW w:w="1260" w:type="dxa"/>
            <w:tcBorders>
              <w:top w:val="single" w:sz="4" w:space="0" w:color="auto"/>
            </w:tcBorders>
          </w:tcPr>
          <w:p w:rsidR="002420CB" w:rsidRPr="00032274" w:rsidRDefault="002420CB" w:rsidP="002420CB">
            <w:pPr>
              <w:rPr>
                <w:rFonts w:cstheme="minorHAnsi"/>
                <w:b/>
                <w:sz w:val="16"/>
                <w:szCs w:val="16"/>
              </w:rPr>
            </w:pPr>
            <w:r>
              <w:rPr>
                <w:rFonts w:cstheme="minorHAnsi"/>
                <w:b/>
                <w:sz w:val="16"/>
                <w:szCs w:val="16"/>
              </w:rPr>
              <w:t xml:space="preserve">Ongoing throughout the contract period of performance, with meaningful progress reported each quarter. </w:t>
            </w:r>
          </w:p>
        </w:tc>
        <w:tc>
          <w:tcPr>
            <w:tcW w:w="3240" w:type="dxa"/>
            <w:tcBorders>
              <w:top w:val="single" w:sz="4" w:space="0" w:color="auto"/>
            </w:tcBorders>
            <w:shd w:val="clear" w:color="auto" w:fill="auto"/>
          </w:tcPr>
          <w:p w:rsidR="002420CB" w:rsidRDefault="002420CB" w:rsidP="002420CB">
            <w:pPr>
              <w:pStyle w:val="ListParagraph"/>
              <w:numPr>
                <w:ilvl w:val="0"/>
                <w:numId w:val="26"/>
              </w:numPr>
              <w:ind w:left="252" w:hanging="252"/>
              <w:rPr>
                <w:rFonts w:cstheme="minorHAnsi"/>
                <w:sz w:val="16"/>
                <w:szCs w:val="16"/>
              </w:rPr>
            </w:pPr>
            <w:r>
              <w:rPr>
                <w:rFonts w:cstheme="minorHAnsi"/>
                <w:sz w:val="16"/>
                <w:szCs w:val="16"/>
              </w:rPr>
              <w:t>Work with partners and implement plans as outlined in the EcSA application (Exhibit A-2) to enhance capacity of partner services to help participants and their household move to earnings above 200% of Federal Poverty Level (FPL);</w:t>
            </w:r>
          </w:p>
          <w:p w:rsidR="002420CB" w:rsidRDefault="002420CB" w:rsidP="002420CB">
            <w:pPr>
              <w:pStyle w:val="ListParagraph"/>
              <w:numPr>
                <w:ilvl w:val="0"/>
                <w:numId w:val="26"/>
              </w:numPr>
              <w:ind w:left="252" w:hanging="252"/>
              <w:rPr>
                <w:rFonts w:cstheme="minorHAnsi"/>
                <w:sz w:val="16"/>
                <w:szCs w:val="16"/>
              </w:rPr>
            </w:pPr>
            <w:r>
              <w:rPr>
                <w:rFonts w:cstheme="minorHAnsi"/>
                <w:sz w:val="16"/>
                <w:szCs w:val="16"/>
              </w:rPr>
              <w:t>Coordinate partnership efforts through the Salishan/Eastside EcSA Workgroup, which will include present or past recipients of partner services, and provide access of partner services to participants directly in their community through the Salishan Association Family Investment Center as outlined in EcSA Application section 4.a;</w:t>
            </w:r>
          </w:p>
          <w:p w:rsidR="002420CB" w:rsidRDefault="002420CB" w:rsidP="002420CB">
            <w:pPr>
              <w:pStyle w:val="ListParagraph"/>
              <w:numPr>
                <w:ilvl w:val="0"/>
                <w:numId w:val="26"/>
              </w:numPr>
              <w:ind w:left="252" w:hanging="252"/>
              <w:rPr>
                <w:rFonts w:cstheme="minorHAnsi"/>
                <w:sz w:val="16"/>
                <w:szCs w:val="16"/>
              </w:rPr>
            </w:pPr>
            <w:r>
              <w:rPr>
                <w:rFonts w:cstheme="minorHAnsi"/>
                <w:sz w:val="16"/>
                <w:szCs w:val="16"/>
              </w:rPr>
              <w:t>Review the Quarterly Outcomes tab of the Budget &amp; Performance form (Exhibit A-1) together with all partners outline in the EcSA application every quarter, comparing your projected results to your actual results on each item; work together to adapt and problem-solve to ensure success;</w:t>
            </w:r>
          </w:p>
          <w:p w:rsidR="002420CB" w:rsidRPr="00032274" w:rsidRDefault="002420CB" w:rsidP="002420CB">
            <w:pPr>
              <w:pStyle w:val="ListParagraph"/>
              <w:numPr>
                <w:ilvl w:val="0"/>
                <w:numId w:val="26"/>
              </w:numPr>
              <w:ind w:left="252" w:hanging="252"/>
              <w:rPr>
                <w:rFonts w:cstheme="minorHAnsi"/>
                <w:sz w:val="16"/>
                <w:szCs w:val="16"/>
              </w:rPr>
            </w:pPr>
            <w:r>
              <w:rPr>
                <w:rFonts w:cstheme="minorHAnsi"/>
                <w:sz w:val="16"/>
                <w:szCs w:val="16"/>
              </w:rPr>
              <w:t xml:space="preserve">Work with partners to utilize leveraged resources identified in Exhibit A-1 and EcSA Application section 3.c. as outlined in the EcSA Application. </w:t>
            </w:r>
          </w:p>
        </w:tc>
        <w:tc>
          <w:tcPr>
            <w:tcW w:w="3240" w:type="dxa"/>
            <w:tcBorders>
              <w:top w:val="single" w:sz="4" w:space="0" w:color="auto"/>
            </w:tcBorders>
          </w:tcPr>
          <w:p w:rsidR="002420CB" w:rsidRDefault="002420CB" w:rsidP="002420CB">
            <w:pPr>
              <w:pStyle w:val="ListParagraph"/>
              <w:numPr>
                <w:ilvl w:val="0"/>
                <w:numId w:val="27"/>
              </w:numPr>
              <w:tabs>
                <w:tab w:val="left" w:pos="1242"/>
              </w:tabs>
              <w:ind w:left="252" w:hanging="180"/>
              <w:rPr>
                <w:rFonts w:cstheme="minorHAnsi"/>
                <w:sz w:val="16"/>
                <w:szCs w:val="16"/>
              </w:rPr>
            </w:pPr>
            <w:r w:rsidRPr="00032274">
              <w:rPr>
                <w:rFonts w:cstheme="minorHAnsi"/>
                <w:sz w:val="16"/>
                <w:szCs w:val="16"/>
              </w:rPr>
              <w:t xml:space="preserve">Progress and activities </w:t>
            </w:r>
            <w:r>
              <w:rPr>
                <w:rFonts w:cstheme="minorHAnsi"/>
                <w:sz w:val="16"/>
                <w:szCs w:val="16"/>
              </w:rPr>
              <w:t>must be provided to ESD in Quarterly Narrative Reports as outlined in section 2 below;</w:t>
            </w:r>
          </w:p>
          <w:p w:rsidR="002420CB" w:rsidRDefault="002420CB" w:rsidP="002420CB">
            <w:pPr>
              <w:pStyle w:val="ListParagraph"/>
              <w:numPr>
                <w:ilvl w:val="0"/>
                <w:numId w:val="27"/>
              </w:numPr>
              <w:tabs>
                <w:tab w:val="left" w:pos="1242"/>
              </w:tabs>
              <w:ind w:left="252" w:hanging="180"/>
              <w:rPr>
                <w:rFonts w:cstheme="minorHAnsi"/>
                <w:sz w:val="16"/>
                <w:szCs w:val="16"/>
              </w:rPr>
            </w:pPr>
            <w:r>
              <w:rPr>
                <w:rFonts w:cstheme="minorHAnsi"/>
                <w:sz w:val="16"/>
                <w:szCs w:val="16"/>
              </w:rPr>
              <w:t xml:space="preserve">Actual results meet or exceed projected results each quarter.  This includes the first quarter – slow start-ups are not expected. </w:t>
            </w:r>
          </w:p>
          <w:p w:rsidR="002420CB" w:rsidRPr="00032274" w:rsidRDefault="002420CB" w:rsidP="002420CB">
            <w:pPr>
              <w:pStyle w:val="ListParagraph"/>
              <w:numPr>
                <w:ilvl w:val="0"/>
                <w:numId w:val="27"/>
              </w:numPr>
              <w:tabs>
                <w:tab w:val="left" w:pos="1242"/>
              </w:tabs>
              <w:ind w:left="252" w:hanging="180"/>
              <w:rPr>
                <w:rFonts w:cstheme="minorHAnsi"/>
                <w:sz w:val="16"/>
                <w:szCs w:val="16"/>
              </w:rPr>
            </w:pPr>
            <w:r>
              <w:rPr>
                <w:rFonts w:cstheme="minorHAnsi"/>
                <w:sz w:val="16"/>
                <w:szCs w:val="16"/>
              </w:rPr>
              <w:t xml:space="preserve">Include leveraged resources in ETA 9130 Quarterly Financial Reports and maintain records of all leveraged resources expended for EcSA activities. </w:t>
            </w:r>
          </w:p>
        </w:tc>
        <w:tc>
          <w:tcPr>
            <w:tcW w:w="2700" w:type="dxa"/>
            <w:tcBorders>
              <w:top w:val="single" w:sz="4" w:space="0" w:color="auto"/>
            </w:tcBorders>
          </w:tcPr>
          <w:p w:rsidR="002420CB" w:rsidRPr="00032274" w:rsidRDefault="002420CB" w:rsidP="002420CB">
            <w:pPr>
              <w:rPr>
                <w:rFonts w:cstheme="minorHAnsi"/>
                <w:b/>
                <w:sz w:val="16"/>
                <w:szCs w:val="16"/>
              </w:rPr>
            </w:pPr>
            <w:r>
              <w:rPr>
                <w:rFonts w:cstheme="minorHAnsi"/>
                <w:b/>
                <w:sz w:val="16"/>
                <w:szCs w:val="16"/>
              </w:rPr>
              <w:t>*Grants Management quarterly:</w:t>
            </w:r>
          </w:p>
          <w:p w:rsidR="002420CB" w:rsidRPr="00032274" w:rsidRDefault="002420CB" w:rsidP="002420CB">
            <w:pPr>
              <w:rPr>
                <w:rFonts w:cstheme="minorHAnsi"/>
                <w:sz w:val="6"/>
                <w:szCs w:val="6"/>
              </w:rPr>
            </w:pPr>
          </w:p>
          <w:p w:rsidR="002420CB" w:rsidRPr="00032274" w:rsidRDefault="002420CB" w:rsidP="002420CB">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2420CB" w:rsidRPr="00032274" w:rsidRDefault="0031049E" w:rsidP="002420CB">
            <w:pPr>
              <w:ind w:left="72"/>
              <w:rPr>
                <w:rFonts w:eastAsia="Times New Roman" w:cstheme="minorHAnsi"/>
                <w:b/>
                <w:sz w:val="16"/>
                <w:szCs w:val="16"/>
              </w:rPr>
            </w:pPr>
            <w:sdt>
              <w:sdtPr>
                <w:rPr>
                  <w:rFonts w:eastAsia="Times New Roman" w:cstheme="minorHAnsi"/>
                  <w:b/>
                  <w:sz w:val="16"/>
                  <w:szCs w:val="16"/>
                </w:rPr>
                <w:id w:val="498012631"/>
                <w14:checkbox>
                  <w14:checked w14:val="0"/>
                  <w14:checkedState w14:val="2612" w14:font="MS Gothic"/>
                  <w14:uncheckedState w14:val="2610" w14:font="MS Gothic"/>
                </w14:checkbox>
              </w:sdtPr>
              <w:sdtEndPr/>
              <w:sdtContent>
                <w:r w:rsidR="002420CB" w:rsidRPr="00032274">
                  <w:rPr>
                    <w:rFonts w:ascii="Segoe UI Symbol" w:eastAsia="MS Gothic" w:hAnsi="Segoe UI Symbol" w:cs="Segoe UI Symbol"/>
                    <w:b/>
                    <w:sz w:val="16"/>
                    <w:szCs w:val="16"/>
                  </w:rPr>
                  <w:t>☐</w:t>
                </w:r>
              </w:sdtContent>
            </w:sdt>
            <w:r w:rsidR="002420CB" w:rsidRPr="00032274">
              <w:rPr>
                <w:rFonts w:eastAsia="Times New Roman" w:cstheme="minorHAnsi"/>
                <w:b/>
                <w:sz w:val="16"/>
                <w:szCs w:val="16"/>
              </w:rPr>
              <w:t xml:space="preserve"> YES, No Issues Identified</w:t>
            </w:r>
          </w:p>
          <w:p w:rsidR="002420CB" w:rsidRDefault="0031049E" w:rsidP="002420CB">
            <w:pPr>
              <w:ind w:left="72"/>
              <w:rPr>
                <w:rFonts w:eastAsia="Times New Roman" w:cstheme="minorHAnsi"/>
                <w:b/>
                <w:sz w:val="16"/>
                <w:szCs w:val="16"/>
              </w:rPr>
            </w:pPr>
            <w:sdt>
              <w:sdtPr>
                <w:rPr>
                  <w:rFonts w:eastAsia="Times New Roman" w:cstheme="minorHAnsi"/>
                  <w:b/>
                  <w:sz w:val="16"/>
                  <w:szCs w:val="16"/>
                </w:rPr>
                <w:id w:val="-1122537048"/>
                <w14:checkbox>
                  <w14:checked w14:val="0"/>
                  <w14:checkedState w14:val="2612" w14:font="MS Gothic"/>
                  <w14:uncheckedState w14:val="2610" w14:font="MS Gothic"/>
                </w14:checkbox>
              </w:sdtPr>
              <w:sdtEndPr/>
              <w:sdtContent>
                <w:r w:rsidR="002420CB" w:rsidRPr="00032274">
                  <w:rPr>
                    <w:rFonts w:ascii="Segoe UI Symbol" w:eastAsia="Times New Roman" w:hAnsi="Segoe UI Symbol" w:cs="Segoe UI Symbol"/>
                    <w:b/>
                    <w:sz w:val="16"/>
                    <w:szCs w:val="16"/>
                  </w:rPr>
                  <w:t>☐</w:t>
                </w:r>
              </w:sdtContent>
            </w:sdt>
            <w:r w:rsidR="002420CB" w:rsidRPr="00032274">
              <w:rPr>
                <w:rFonts w:eastAsia="Times New Roman" w:cstheme="minorHAnsi"/>
                <w:b/>
                <w:sz w:val="16"/>
                <w:szCs w:val="16"/>
              </w:rPr>
              <w:t xml:space="preserve"> N</w:t>
            </w:r>
            <w:r w:rsidR="002420CB" w:rsidRPr="00032274">
              <w:rPr>
                <w:rFonts w:eastAsia="Times New Roman" w:cstheme="minorHAnsi"/>
                <w:b/>
                <w:caps/>
                <w:sz w:val="16"/>
                <w:szCs w:val="16"/>
              </w:rPr>
              <w:t>o</w:t>
            </w:r>
            <w:r w:rsidR="002420CB" w:rsidRPr="00032274">
              <w:rPr>
                <w:rFonts w:eastAsia="Times New Roman" w:cstheme="minorHAnsi"/>
                <w:b/>
                <w:sz w:val="16"/>
                <w:szCs w:val="16"/>
              </w:rPr>
              <w:t xml:space="preserve">, LWDB did not meet </w:t>
            </w:r>
          </w:p>
          <w:p w:rsidR="002420CB" w:rsidRDefault="002420CB" w:rsidP="002420CB">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2420CB" w:rsidRPr="00032274" w:rsidRDefault="002420CB" w:rsidP="002420CB">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2420CB" w:rsidRPr="00180CB5" w:rsidRDefault="002420CB" w:rsidP="002420CB">
            <w:pPr>
              <w:ind w:left="72"/>
              <w:rPr>
                <w:rFonts w:cstheme="minorHAnsi"/>
                <w:b/>
                <w:sz w:val="16"/>
                <w:szCs w:val="16"/>
              </w:rPr>
            </w:pPr>
          </w:p>
        </w:tc>
        <w:tc>
          <w:tcPr>
            <w:tcW w:w="1980" w:type="dxa"/>
            <w:tcBorders>
              <w:top w:val="single" w:sz="4" w:space="0" w:color="auto"/>
              <w:bottom w:val="single" w:sz="4" w:space="0" w:color="auto"/>
            </w:tcBorders>
          </w:tcPr>
          <w:p w:rsidR="002420CB" w:rsidRPr="00DB4F96" w:rsidRDefault="002420CB" w:rsidP="002420CB">
            <w:pPr>
              <w:rPr>
                <w:rFonts w:eastAsia="Times New Roman" w:cstheme="minorHAnsi"/>
                <w:sz w:val="6"/>
                <w:szCs w:val="6"/>
              </w:rPr>
            </w:pPr>
          </w:p>
          <w:p w:rsidR="002420CB" w:rsidRPr="00DB4F96" w:rsidRDefault="002420CB" w:rsidP="002420CB">
            <w:pPr>
              <w:rPr>
                <w:rFonts w:eastAsia="Times New Roman" w:cstheme="minorHAnsi"/>
                <w:sz w:val="14"/>
                <w:szCs w:val="14"/>
              </w:rPr>
            </w:pPr>
          </w:p>
        </w:tc>
      </w:tr>
    </w:tbl>
    <w:p w:rsidR="002420CB" w:rsidRDefault="002420CB">
      <w:bookmarkStart w:id="0" w:name="_GoBack"/>
      <w:bookmarkEnd w:id="0"/>
      <w:r>
        <w:br w:type="page"/>
      </w:r>
    </w:p>
    <w:tbl>
      <w:tblPr>
        <w:tblStyle w:val="TableGrid"/>
        <w:tblW w:w="14935" w:type="dxa"/>
        <w:tblLook w:val="04A0" w:firstRow="1" w:lastRow="0" w:firstColumn="1" w:lastColumn="0" w:noHBand="0" w:noVBand="1"/>
      </w:tblPr>
      <w:tblGrid>
        <w:gridCol w:w="2515"/>
        <w:gridCol w:w="1260"/>
        <w:gridCol w:w="3240"/>
        <w:gridCol w:w="3240"/>
        <w:gridCol w:w="2700"/>
        <w:gridCol w:w="1980"/>
      </w:tblGrid>
      <w:tr w:rsidR="002420CB" w:rsidTr="00BC5133">
        <w:tc>
          <w:tcPr>
            <w:tcW w:w="2515" w:type="dxa"/>
            <w:shd w:val="clear" w:color="auto" w:fill="auto"/>
          </w:tcPr>
          <w:p w:rsidR="002420CB" w:rsidRDefault="002420CB" w:rsidP="002420CB">
            <w:pPr>
              <w:rPr>
                <w:rFonts w:cstheme="minorHAnsi"/>
                <w:sz w:val="16"/>
                <w:szCs w:val="16"/>
              </w:rPr>
            </w:pPr>
            <w:r w:rsidRPr="00032274">
              <w:rPr>
                <w:rFonts w:cstheme="minorHAnsi"/>
                <w:b/>
                <w:sz w:val="16"/>
                <w:szCs w:val="16"/>
              </w:rPr>
              <w:lastRenderedPageBreak/>
              <w:t>Task 2</w:t>
            </w:r>
            <w:r w:rsidRPr="00032274">
              <w:rPr>
                <w:rFonts w:cstheme="minorHAnsi"/>
                <w:sz w:val="16"/>
                <w:szCs w:val="16"/>
              </w:rPr>
              <w:t xml:space="preserve">: </w:t>
            </w:r>
            <w:r>
              <w:rPr>
                <w:rFonts w:cstheme="minorHAnsi"/>
                <w:sz w:val="16"/>
                <w:szCs w:val="16"/>
              </w:rPr>
              <w:t>Coordinated outreach and intake</w:t>
            </w:r>
          </w:p>
          <w:p w:rsidR="002420CB" w:rsidRDefault="002420CB" w:rsidP="002420CB">
            <w:pPr>
              <w:rPr>
                <w:rFonts w:cstheme="minorHAnsi"/>
                <w:sz w:val="16"/>
                <w:szCs w:val="16"/>
              </w:rPr>
            </w:pPr>
          </w:p>
          <w:p w:rsidR="002420CB" w:rsidRPr="00032274" w:rsidRDefault="002420CB" w:rsidP="002420CB">
            <w:pPr>
              <w:rPr>
                <w:rFonts w:cstheme="minorHAnsi"/>
                <w:sz w:val="16"/>
                <w:szCs w:val="16"/>
              </w:rPr>
            </w:pPr>
            <w:r>
              <w:rPr>
                <w:rFonts w:cstheme="minorHAnsi"/>
                <w:sz w:val="16"/>
                <w:szCs w:val="16"/>
              </w:rPr>
              <w:t xml:space="preserve">Outreach to impoverished individuals in the target community, focusing on under-employed individuals and individuals needing additional education and training to obtain living wage employment.   </w:t>
            </w:r>
          </w:p>
        </w:tc>
        <w:tc>
          <w:tcPr>
            <w:tcW w:w="1260" w:type="dxa"/>
          </w:tcPr>
          <w:p w:rsidR="002420CB" w:rsidRPr="00032274" w:rsidRDefault="002420CB" w:rsidP="002420CB">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shd w:val="clear" w:color="auto" w:fill="auto"/>
          </w:tcPr>
          <w:p w:rsidR="002420CB" w:rsidRPr="00FA7B30" w:rsidRDefault="002420CB" w:rsidP="002420CB">
            <w:pPr>
              <w:pStyle w:val="ListParagraph"/>
              <w:numPr>
                <w:ilvl w:val="0"/>
                <w:numId w:val="28"/>
              </w:numPr>
              <w:ind w:left="252" w:hanging="252"/>
              <w:rPr>
                <w:rFonts w:cstheme="minorHAnsi"/>
                <w:sz w:val="16"/>
                <w:szCs w:val="16"/>
              </w:rPr>
            </w:pPr>
            <w:r w:rsidRPr="00FA7B30">
              <w:rPr>
                <w:rFonts w:cstheme="minorHAnsi"/>
                <w:sz w:val="16"/>
                <w:szCs w:val="16"/>
              </w:rPr>
              <w:t xml:space="preserve">Work with partners as outlined in EcSA Application sections </w:t>
            </w:r>
            <w:r>
              <w:rPr>
                <w:rFonts w:cstheme="minorHAnsi"/>
                <w:sz w:val="16"/>
                <w:szCs w:val="16"/>
              </w:rPr>
              <w:t xml:space="preserve">2.b., </w:t>
            </w:r>
            <w:r w:rsidRPr="00FA7B30">
              <w:rPr>
                <w:rFonts w:cstheme="minorHAnsi"/>
                <w:sz w:val="16"/>
                <w:szCs w:val="16"/>
              </w:rPr>
              <w:t xml:space="preserve">3.a., and 4.a., </w:t>
            </w:r>
            <w:r>
              <w:rPr>
                <w:rFonts w:cstheme="minorHAnsi"/>
                <w:sz w:val="16"/>
                <w:szCs w:val="16"/>
              </w:rPr>
              <w:t xml:space="preserve">utilizing a common referral system, standard operating procedures, </w:t>
            </w:r>
            <w:proofErr w:type="gramStart"/>
            <w:r>
              <w:rPr>
                <w:rFonts w:cstheme="minorHAnsi"/>
                <w:sz w:val="16"/>
                <w:szCs w:val="16"/>
              </w:rPr>
              <w:t>shared</w:t>
            </w:r>
            <w:proofErr w:type="gramEnd"/>
            <w:r>
              <w:rPr>
                <w:rFonts w:cstheme="minorHAnsi"/>
                <w:sz w:val="16"/>
                <w:szCs w:val="16"/>
              </w:rPr>
              <w:t xml:space="preserve"> intake forms detail, and joint reporting dashboard to ensure participants connect to the resources they need. </w:t>
            </w:r>
          </w:p>
          <w:p w:rsidR="002420CB" w:rsidRPr="00E54233" w:rsidRDefault="002420CB" w:rsidP="002420CB">
            <w:pPr>
              <w:pStyle w:val="ListParagraph"/>
              <w:numPr>
                <w:ilvl w:val="0"/>
                <w:numId w:val="28"/>
              </w:numPr>
              <w:ind w:left="252" w:hanging="252"/>
              <w:rPr>
                <w:rFonts w:cstheme="minorHAnsi"/>
                <w:sz w:val="16"/>
                <w:szCs w:val="16"/>
              </w:rPr>
            </w:pPr>
            <w:r>
              <w:rPr>
                <w:rFonts w:cstheme="minorHAnsi"/>
                <w:sz w:val="16"/>
                <w:szCs w:val="16"/>
              </w:rPr>
              <w:t xml:space="preserve">Conduct outreach and coordinated referrals to trigger wrap around services between service providers with a tracking mechanism to ensure participants receive the assistance needed to address barriers and gain resources necessary to achieve or improve financial sustainability. This work places the accountability within the partnership to ensure the participant’s connection to service needs are managed by agency staff, allowing the participant to navigate system services without having to do so independently. This approach fosters system and service provider accountability and creates a stronger momentum for the participant to remain engaged in services. This approach is managed and tracked through the 2-1-1 Navigator and facilities partner to partner connections as well as direct outreach by the Tacoma Ministerial Alliance. </w:t>
            </w:r>
          </w:p>
          <w:p w:rsidR="002420CB" w:rsidRPr="00032274" w:rsidRDefault="002420CB" w:rsidP="002420CB">
            <w:pPr>
              <w:pStyle w:val="ListParagraph"/>
              <w:ind w:left="252"/>
              <w:rPr>
                <w:rFonts w:cstheme="minorHAnsi"/>
                <w:sz w:val="16"/>
                <w:szCs w:val="16"/>
              </w:rPr>
            </w:pPr>
          </w:p>
        </w:tc>
        <w:tc>
          <w:tcPr>
            <w:tcW w:w="3240" w:type="dxa"/>
          </w:tcPr>
          <w:p w:rsidR="002420CB" w:rsidRPr="00FA7B30" w:rsidRDefault="002420CB" w:rsidP="002420CB">
            <w:pPr>
              <w:pStyle w:val="ListParagraph"/>
              <w:numPr>
                <w:ilvl w:val="0"/>
                <w:numId w:val="29"/>
              </w:numPr>
              <w:shd w:val="clear" w:color="auto" w:fill="E2EFD9" w:themeFill="accent6" w:themeFillTint="33"/>
              <w:ind w:left="252" w:hanging="90"/>
              <w:rPr>
                <w:rFonts w:cstheme="minorHAnsi"/>
                <w:sz w:val="16"/>
                <w:szCs w:val="16"/>
              </w:rPr>
            </w:pPr>
            <w:r w:rsidRPr="00FA7B30">
              <w:rPr>
                <w:rFonts w:cstheme="minorHAnsi"/>
                <w:sz w:val="16"/>
                <w:szCs w:val="16"/>
              </w:rPr>
              <w:t>Number of SNAP enrolled, WIOA eligible i</w:t>
            </w:r>
            <w:r>
              <w:rPr>
                <w:rFonts w:cstheme="minorHAnsi"/>
                <w:sz w:val="16"/>
                <w:szCs w:val="16"/>
              </w:rPr>
              <w:t>ndividuals enrolled in EcSA (440</w:t>
            </w:r>
            <w:r w:rsidRPr="00FA7B30">
              <w:rPr>
                <w:rFonts w:cstheme="minorHAnsi"/>
                <w:sz w:val="16"/>
                <w:szCs w:val="16"/>
              </w:rPr>
              <w:t>);</w:t>
            </w:r>
          </w:p>
          <w:p w:rsidR="002420CB" w:rsidRPr="00032274" w:rsidRDefault="002420CB" w:rsidP="002420CB">
            <w:pPr>
              <w:pStyle w:val="ListParagraph"/>
              <w:numPr>
                <w:ilvl w:val="0"/>
                <w:numId w:val="29"/>
              </w:numPr>
              <w:ind w:left="252" w:hanging="90"/>
              <w:rPr>
                <w:rFonts w:cstheme="minorHAnsi"/>
                <w:sz w:val="16"/>
                <w:szCs w:val="16"/>
              </w:rPr>
            </w:pPr>
            <w:r w:rsidRPr="00FA7B30">
              <w:rPr>
                <w:rFonts w:cstheme="minorHAnsi"/>
                <w:sz w:val="16"/>
                <w:szCs w:val="16"/>
              </w:rPr>
              <w:t>Actual results meet or exceed projected results each quarter. This includes the first quarter-slow start-ups are note expected.</w:t>
            </w:r>
            <w:r>
              <w:rPr>
                <w:rFonts w:cstheme="minorHAnsi"/>
                <w:sz w:val="16"/>
                <w:szCs w:val="16"/>
              </w:rPr>
              <w:t xml:space="preserve"> </w:t>
            </w:r>
          </w:p>
        </w:tc>
        <w:tc>
          <w:tcPr>
            <w:tcW w:w="2700" w:type="dxa"/>
          </w:tcPr>
          <w:p w:rsidR="002420CB" w:rsidRDefault="002420CB" w:rsidP="002420CB">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2420CB" w:rsidRPr="00CE77FE" w:rsidRDefault="002420CB" w:rsidP="002420CB">
            <w:pPr>
              <w:rPr>
                <w:rFonts w:cstheme="minorHAnsi"/>
                <w:b/>
                <w:sz w:val="10"/>
                <w:szCs w:val="10"/>
              </w:rPr>
            </w:pPr>
          </w:p>
          <w:p w:rsidR="002420CB" w:rsidRPr="00032274" w:rsidRDefault="002420CB" w:rsidP="002420CB">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2420CB" w:rsidRPr="00032274" w:rsidRDefault="0031049E" w:rsidP="002420CB">
            <w:pPr>
              <w:ind w:left="72"/>
              <w:rPr>
                <w:rFonts w:eastAsia="Times New Roman" w:cstheme="minorHAnsi"/>
                <w:b/>
                <w:sz w:val="16"/>
                <w:szCs w:val="16"/>
              </w:rPr>
            </w:pPr>
            <w:sdt>
              <w:sdtPr>
                <w:rPr>
                  <w:rFonts w:eastAsia="Times New Roman" w:cstheme="minorHAnsi"/>
                  <w:b/>
                  <w:sz w:val="16"/>
                  <w:szCs w:val="16"/>
                </w:rPr>
                <w:id w:val="12504881"/>
                <w14:checkbox>
                  <w14:checked w14:val="0"/>
                  <w14:checkedState w14:val="2612" w14:font="MS Gothic"/>
                  <w14:uncheckedState w14:val="2610" w14:font="MS Gothic"/>
                </w14:checkbox>
              </w:sdtPr>
              <w:sdtEndPr/>
              <w:sdtContent>
                <w:r w:rsidR="002420CB" w:rsidRPr="00032274">
                  <w:rPr>
                    <w:rFonts w:ascii="Segoe UI Symbol" w:eastAsia="MS Gothic" w:hAnsi="Segoe UI Symbol" w:cs="Segoe UI Symbol"/>
                    <w:b/>
                    <w:sz w:val="16"/>
                    <w:szCs w:val="16"/>
                  </w:rPr>
                  <w:t>☐</w:t>
                </w:r>
              </w:sdtContent>
            </w:sdt>
            <w:r w:rsidR="002420CB" w:rsidRPr="00032274">
              <w:rPr>
                <w:rFonts w:eastAsia="Times New Roman" w:cstheme="minorHAnsi"/>
                <w:b/>
                <w:sz w:val="16"/>
                <w:szCs w:val="16"/>
              </w:rPr>
              <w:t xml:space="preserve"> YES, No Issues Identified</w:t>
            </w:r>
          </w:p>
          <w:p w:rsidR="002420CB" w:rsidRDefault="0031049E" w:rsidP="002420CB">
            <w:pPr>
              <w:ind w:left="72"/>
              <w:rPr>
                <w:rFonts w:eastAsia="Times New Roman" w:cstheme="minorHAnsi"/>
                <w:b/>
                <w:sz w:val="16"/>
                <w:szCs w:val="16"/>
              </w:rPr>
            </w:pPr>
            <w:sdt>
              <w:sdtPr>
                <w:rPr>
                  <w:rFonts w:eastAsia="Times New Roman" w:cstheme="minorHAnsi"/>
                  <w:b/>
                  <w:sz w:val="16"/>
                  <w:szCs w:val="16"/>
                </w:rPr>
                <w:id w:val="-391582225"/>
                <w14:checkbox>
                  <w14:checked w14:val="0"/>
                  <w14:checkedState w14:val="2612" w14:font="MS Gothic"/>
                  <w14:uncheckedState w14:val="2610" w14:font="MS Gothic"/>
                </w14:checkbox>
              </w:sdtPr>
              <w:sdtEndPr/>
              <w:sdtContent>
                <w:r w:rsidR="002420CB" w:rsidRPr="00032274">
                  <w:rPr>
                    <w:rFonts w:ascii="Segoe UI Symbol" w:eastAsia="Times New Roman" w:hAnsi="Segoe UI Symbol" w:cs="Segoe UI Symbol"/>
                    <w:b/>
                    <w:sz w:val="16"/>
                    <w:szCs w:val="16"/>
                  </w:rPr>
                  <w:t>☐</w:t>
                </w:r>
              </w:sdtContent>
            </w:sdt>
            <w:r w:rsidR="002420CB" w:rsidRPr="00032274">
              <w:rPr>
                <w:rFonts w:eastAsia="Times New Roman" w:cstheme="minorHAnsi"/>
                <w:b/>
                <w:sz w:val="16"/>
                <w:szCs w:val="16"/>
              </w:rPr>
              <w:t xml:space="preserve"> N</w:t>
            </w:r>
            <w:r w:rsidR="002420CB" w:rsidRPr="00032274">
              <w:rPr>
                <w:rFonts w:eastAsia="Times New Roman" w:cstheme="minorHAnsi"/>
                <w:b/>
                <w:caps/>
                <w:sz w:val="16"/>
                <w:szCs w:val="16"/>
              </w:rPr>
              <w:t>o</w:t>
            </w:r>
            <w:r w:rsidR="002420CB" w:rsidRPr="00032274">
              <w:rPr>
                <w:rFonts w:eastAsia="Times New Roman" w:cstheme="minorHAnsi"/>
                <w:b/>
                <w:sz w:val="16"/>
                <w:szCs w:val="16"/>
              </w:rPr>
              <w:t xml:space="preserve">, LWDB did not meet </w:t>
            </w:r>
          </w:p>
          <w:p w:rsidR="002420CB" w:rsidRDefault="002420CB" w:rsidP="002420CB">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2420CB" w:rsidRPr="00032274" w:rsidRDefault="002420CB" w:rsidP="002420CB">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2420CB" w:rsidRPr="00A410A7" w:rsidRDefault="002420CB" w:rsidP="002420CB">
            <w:pPr>
              <w:rPr>
                <w:rFonts w:cstheme="minorHAnsi"/>
                <w:b/>
                <w:sz w:val="16"/>
                <w:szCs w:val="16"/>
              </w:rPr>
            </w:pPr>
            <w:r w:rsidRPr="00A410A7">
              <w:rPr>
                <w:rFonts w:cstheme="minorHAnsi"/>
                <w:b/>
                <w:sz w:val="16"/>
                <w:szCs w:val="16"/>
              </w:rPr>
              <w:t xml:space="preserve"> </w:t>
            </w:r>
          </w:p>
          <w:p w:rsidR="002420CB" w:rsidRDefault="002420CB" w:rsidP="002420CB">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2420CB" w:rsidRPr="00CE77FE" w:rsidRDefault="002420CB" w:rsidP="002420CB">
            <w:pPr>
              <w:shd w:val="clear" w:color="auto" w:fill="E2EFD9" w:themeFill="accent6" w:themeFillTint="33"/>
              <w:rPr>
                <w:rFonts w:cstheme="minorHAnsi"/>
                <w:b/>
                <w:sz w:val="10"/>
                <w:szCs w:val="10"/>
              </w:rPr>
            </w:pPr>
          </w:p>
          <w:p w:rsidR="002420CB" w:rsidRPr="00CE77FE" w:rsidRDefault="002420CB" w:rsidP="002420CB">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 xml:space="preserve">Element </w:t>
            </w:r>
            <w:r>
              <w:rPr>
                <w:rFonts w:cstheme="minorHAnsi"/>
                <w:b/>
                <w:sz w:val="16"/>
                <w:szCs w:val="16"/>
              </w:rPr>
              <w:t>1, “EcSA Eligibility” and 3-A, “Date of EcSA Program Entry/Participation</w:t>
            </w:r>
            <w:r w:rsidRPr="00CE77FE">
              <w:rPr>
                <w:rFonts w:cstheme="minorHAnsi"/>
                <w:b/>
                <w:sz w:val="16"/>
                <w:szCs w:val="16"/>
              </w:rPr>
              <w:t xml:space="preserve"> of EcSA file checklist:</w:t>
            </w:r>
          </w:p>
          <w:p w:rsidR="002420CB" w:rsidRPr="00A410A7" w:rsidRDefault="0031049E" w:rsidP="002420CB">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521620019"/>
                <w14:checkbox>
                  <w14:checked w14:val="0"/>
                  <w14:checkedState w14:val="2612" w14:font="MS Gothic"/>
                  <w14:uncheckedState w14:val="2610" w14:font="MS Gothic"/>
                </w14:checkbox>
              </w:sdtPr>
              <w:sdtEndPr/>
              <w:sdtContent>
                <w:r w:rsidR="002420CB" w:rsidRPr="00A410A7">
                  <w:rPr>
                    <w:rFonts w:ascii="Segoe UI Symbol" w:eastAsia="Times New Roman" w:hAnsi="Segoe UI Symbol" w:cs="Segoe UI Symbol"/>
                    <w:b/>
                    <w:sz w:val="16"/>
                    <w:szCs w:val="16"/>
                  </w:rPr>
                  <w:t>☐</w:t>
                </w:r>
              </w:sdtContent>
            </w:sdt>
            <w:r w:rsidR="002420CB" w:rsidRPr="00A410A7">
              <w:rPr>
                <w:rFonts w:eastAsia="Times New Roman" w:cstheme="minorHAnsi"/>
                <w:b/>
                <w:sz w:val="16"/>
                <w:szCs w:val="16"/>
              </w:rPr>
              <w:t xml:space="preserve"> YES, No Issues Identified</w:t>
            </w:r>
          </w:p>
          <w:p w:rsidR="002420CB" w:rsidRPr="00F13713" w:rsidRDefault="0031049E" w:rsidP="002420CB">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1833135418"/>
                <w14:checkbox>
                  <w14:checked w14:val="0"/>
                  <w14:checkedState w14:val="2612" w14:font="MS Gothic"/>
                  <w14:uncheckedState w14:val="2610" w14:font="MS Gothic"/>
                </w14:checkbox>
              </w:sdtPr>
              <w:sdtEndPr/>
              <w:sdtContent>
                <w:r w:rsidR="002420CB" w:rsidRPr="00A410A7">
                  <w:rPr>
                    <w:rFonts w:ascii="Segoe UI Symbol" w:eastAsia="Times New Roman" w:hAnsi="Segoe UI Symbol" w:cs="Segoe UI Symbol"/>
                    <w:b/>
                    <w:sz w:val="16"/>
                    <w:szCs w:val="16"/>
                  </w:rPr>
                  <w:t>☐</w:t>
                </w:r>
              </w:sdtContent>
            </w:sdt>
            <w:r w:rsidR="002420CB" w:rsidRPr="00A410A7">
              <w:rPr>
                <w:rFonts w:eastAsia="Times New Roman" w:cstheme="minorHAnsi"/>
                <w:b/>
                <w:sz w:val="16"/>
                <w:szCs w:val="16"/>
              </w:rPr>
              <w:t xml:space="preserve"> NO, one or more issues identified</w:t>
            </w:r>
          </w:p>
        </w:tc>
        <w:tc>
          <w:tcPr>
            <w:tcW w:w="1980" w:type="dxa"/>
            <w:tcBorders>
              <w:top w:val="single" w:sz="4" w:space="0" w:color="auto"/>
              <w:bottom w:val="single" w:sz="4" w:space="0" w:color="auto"/>
            </w:tcBorders>
          </w:tcPr>
          <w:p w:rsidR="002420CB" w:rsidRPr="003264B6" w:rsidRDefault="002420CB" w:rsidP="002420CB">
            <w:pPr>
              <w:rPr>
                <w:rFonts w:eastAsia="Times New Roman" w:cstheme="minorHAnsi"/>
                <w:sz w:val="6"/>
                <w:szCs w:val="6"/>
              </w:rPr>
            </w:pPr>
          </w:p>
          <w:p w:rsidR="002420CB" w:rsidRPr="003264B6" w:rsidRDefault="002420CB" w:rsidP="002420CB">
            <w:pPr>
              <w:rPr>
                <w:rFonts w:eastAsia="Times New Roman" w:cstheme="minorHAnsi"/>
                <w:sz w:val="14"/>
                <w:szCs w:val="14"/>
              </w:rPr>
            </w:pPr>
          </w:p>
        </w:tc>
      </w:tr>
    </w:tbl>
    <w:p w:rsidR="002420CB" w:rsidRDefault="002420CB">
      <w:r>
        <w:br w:type="page"/>
      </w:r>
    </w:p>
    <w:tbl>
      <w:tblPr>
        <w:tblStyle w:val="TableGrid"/>
        <w:tblW w:w="14935" w:type="dxa"/>
        <w:tblLook w:val="04A0" w:firstRow="1" w:lastRow="0" w:firstColumn="1" w:lastColumn="0" w:noHBand="0" w:noVBand="1"/>
      </w:tblPr>
      <w:tblGrid>
        <w:gridCol w:w="2515"/>
        <w:gridCol w:w="1260"/>
        <w:gridCol w:w="3240"/>
        <w:gridCol w:w="3240"/>
        <w:gridCol w:w="2700"/>
        <w:gridCol w:w="1980"/>
      </w:tblGrid>
      <w:tr w:rsidR="002420CB" w:rsidTr="002420CB">
        <w:tc>
          <w:tcPr>
            <w:tcW w:w="2515" w:type="dxa"/>
            <w:shd w:val="clear" w:color="auto" w:fill="auto"/>
          </w:tcPr>
          <w:p w:rsidR="002420CB" w:rsidRDefault="002420CB" w:rsidP="002420CB">
            <w:pPr>
              <w:rPr>
                <w:rFonts w:cstheme="minorHAnsi"/>
                <w:sz w:val="16"/>
                <w:szCs w:val="16"/>
              </w:rPr>
            </w:pPr>
            <w:r w:rsidRPr="002420CB">
              <w:rPr>
                <w:rFonts w:cstheme="minorHAnsi"/>
                <w:b/>
                <w:sz w:val="16"/>
                <w:szCs w:val="16"/>
              </w:rPr>
              <w:lastRenderedPageBreak/>
              <w:t>Task 3</w:t>
            </w:r>
            <w:r w:rsidRPr="002420CB">
              <w:rPr>
                <w:rFonts w:cstheme="minorHAnsi"/>
                <w:sz w:val="16"/>
                <w:szCs w:val="16"/>
              </w:rPr>
              <w:t xml:space="preserve">: </w:t>
            </w:r>
          </w:p>
          <w:p w:rsidR="002420CB" w:rsidRDefault="002420CB" w:rsidP="002420CB">
            <w:pPr>
              <w:rPr>
                <w:rFonts w:cstheme="minorHAnsi"/>
                <w:sz w:val="16"/>
                <w:szCs w:val="16"/>
              </w:rPr>
            </w:pPr>
          </w:p>
          <w:p w:rsidR="002420CB" w:rsidRPr="00D814D6" w:rsidRDefault="002420CB" w:rsidP="002420CB">
            <w:pPr>
              <w:rPr>
                <w:rFonts w:cstheme="minorHAnsi"/>
                <w:sz w:val="16"/>
                <w:szCs w:val="16"/>
              </w:rPr>
            </w:pPr>
            <w:r w:rsidRPr="002420CB">
              <w:rPr>
                <w:rFonts w:cstheme="minorHAnsi"/>
                <w:sz w:val="16"/>
                <w:szCs w:val="16"/>
              </w:rPr>
              <w:t>Career Plans and workforce development opportunities that lead to earnings above 200% of FPL</w:t>
            </w:r>
          </w:p>
        </w:tc>
        <w:tc>
          <w:tcPr>
            <w:tcW w:w="1260" w:type="dxa"/>
            <w:shd w:val="clear" w:color="auto" w:fill="auto"/>
          </w:tcPr>
          <w:p w:rsidR="002420CB" w:rsidRPr="00D814D6" w:rsidRDefault="002420CB" w:rsidP="002420CB">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2420CB" w:rsidRPr="00FA7B30" w:rsidRDefault="002420CB" w:rsidP="002420CB">
            <w:pPr>
              <w:pStyle w:val="ListParagraph"/>
              <w:numPr>
                <w:ilvl w:val="0"/>
                <w:numId w:val="30"/>
              </w:numPr>
              <w:shd w:val="clear" w:color="auto" w:fill="E2EFD9" w:themeFill="accent6" w:themeFillTint="33"/>
              <w:ind w:left="252" w:hanging="252"/>
              <w:rPr>
                <w:rFonts w:cstheme="minorHAnsi"/>
                <w:sz w:val="16"/>
                <w:szCs w:val="16"/>
              </w:rPr>
            </w:pPr>
            <w:r w:rsidRPr="00FA7B30">
              <w:rPr>
                <w:rFonts w:cstheme="minorHAnsi"/>
                <w:sz w:val="16"/>
                <w:szCs w:val="16"/>
              </w:rPr>
              <w:t>Develop career plans for each EcSA participant as outlined in EcSA Application section 4.b;</w:t>
            </w:r>
          </w:p>
          <w:p w:rsidR="002420CB" w:rsidRPr="00FA7B30" w:rsidRDefault="002420CB" w:rsidP="002420CB">
            <w:pPr>
              <w:pStyle w:val="ListParagraph"/>
              <w:numPr>
                <w:ilvl w:val="0"/>
                <w:numId w:val="30"/>
              </w:numPr>
              <w:shd w:val="clear" w:color="auto" w:fill="E2EFD9" w:themeFill="accent6" w:themeFillTint="33"/>
              <w:ind w:left="252" w:hanging="252"/>
              <w:rPr>
                <w:rFonts w:cstheme="minorHAnsi"/>
                <w:sz w:val="16"/>
                <w:szCs w:val="16"/>
              </w:rPr>
            </w:pPr>
            <w:r w:rsidRPr="00FA7B30">
              <w:rPr>
                <w:rFonts w:cstheme="minorHAnsi"/>
                <w:sz w:val="16"/>
                <w:szCs w:val="16"/>
              </w:rPr>
              <w:t>Based on career plans, connect EcSA participants to workforce training, career opportunities, and related supportive services as outlined in EcSA Application sections 3.a, 4.a, and 4.b;</w:t>
            </w:r>
          </w:p>
          <w:p w:rsidR="002420CB" w:rsidRDefault="002420CB" w:rsidP="002420CB">
            <w:pPr>
              <w:pStyle w:val="ListParagraph"/>
              <w:numPr>
                <w:ilvl w:val="0"/>
                <w:numId w:val="30"/>
              </w:numPr>
              <w:shd w:val="clear" w:color="auto" w:fill="E2EFD9" w:themeFill="accent6" w:themeFillTint="33"/>
              <w:ind w:left="252" w:hanging="252"/>
              <w:rPr>
                <w:rFonts w:cstheme="minorHAnsi"/>
                <w:sz w:val="16"/>
                <w:szCs w:val="16"/>
              </w:rPr>
            </w:pPr>
            <w:r>
              <w:rPr>
                <w:rFonts w:cstheme="minorHAnsi"/>
                <w:sz w:val="16"/>
                <w:szCs w:val="16"/>
              </w:rPr>
              <w:t>Provide clients with career maps for high-wage, high-demand credentials and assistance applying for BFET, EAG, Opportunity Grant and other financial aid resources.</w:t>
            </w:r>
          </w:p>
          <w:p w:rsidR="002420CB" w:rsidRPr="00A410A7" w:rsidRDefault="002420CB" w:rsidP="002420CB">
            <w:pPr>
              <w:pStyle w:val="ListParagraph"/>
              <w:numPr>
                <w:ilvl w:val="0"/>
                <w:numId w:val="30"/>
              </w:numPr>
              <w:ind w:left="252" w:hanging="252"/>
              <w:rPr>
                <w:rFonts w:cstheme="minorHAnsi"/>
                <w:sz w:val="16"/>
                <w:szCs w:val="16"/>
              </w:rPr>
            </w:pPr>
            <w:r>
              <w:rPr>
                <w:rFonts w:cstheme="minorHAnsi"/>
                <w:sz w:val="16"/>
                <w:szCs w:val="16"/>
              </w:rPr>
              <w:t xml:space="preserve">Develop new apprenticeship and pre-apprenticeship standards and connections to training certificates. </w:t>
            </w:r>
          </w:p>
        </w:tc>
        <w:tc>
          <w:tcPr>
            <w:tcW w:w="3240" w:type="dxa"/>
          </w:tcPr>
          <w:p w:rsidR="002420CB" w:rsidRDefault="002420CB" w:rsidP="002420CB">
            <w:pPr>
              <w:pStyle w:val="ListParagraph"/>
              <w:numPr>
                <w:ilvl w:val="0"/>
                <w:numId w:val="31"/>
              </w:numPr>
              <w:shd w:val="clear" w:color="auto" w:fill="E2EFD9" w:themeFill="accent6" w:themeFillTint="33"/>
              <w:ind w:left="162" w:hanging="90"/>
              <w:rPr>
                <w:rFonts w:cstheme="minorHAnsi"/>
                <w:sz w:val="16"/>
                <w:szCs w:val="16"/>
              </w:rPr>
            </w:pPr>
            <w:r>
              <w:rPr>
                <w:rFonts w:cstheme="minorHAnsi"/>
                <w:sz w:val="16"/>
                <w:szCs w:val="16"/>
              </w:rPr>
              <w:t>Participant Career Plans;</w:t>
            </w:r>
          </w:p>
          <w:p w:rsidR="002420CB" w:rsidRDefault="002420CB" w:rsidP="00C50071">
            <w:pPr>
              <w:pStyle w:val="ListParagraph"/>
              <w:numPr>
                <w:ilvl w:val="0"/>
                <w:numId w:val="31"/>
              </w:numPr>
              <w:ind w:left="162" w:hanging="90"/>
              <w:rPr>
                <w:rFonts w:cstheme="minorHAnsi"/>
                <w:sz w:val="16"/>
                <w:szCs w:val="16"/>
              </w:rPr>
            </w:pPr>
            <w:r>
              <w:rPr>
                <w:rFonts w:cstheme="minorHAnsi"/>
                <w:sz w:val="16"/>
                <w:szCs w:val="16"/>
              </w:rPr>
              <w:t>Participants entering employment;</w:t>
            </w:r>
          </w:p>
          <w:p w:rsidR="002420CB" w:rsidRDefault="002420CB" w:rsidP="00C50071">
            <w:pPr>
              <w:pStyle w:val="ListParagraph"/>
              <w:numPr>
                <w:ilvl w:val="0"/>
                <w:numId w:val="31"/>
              </w:numPr>
              <w:ind w:left="162" w:hanging="90"/>
              <w:rPr>
                <w:rFonts w:cstheme="minorHAnsi"/>
                <w:sz w:val="16"/>
                <w:szCs w:val="16"/>
              </w:rPr>
            </w:pPr>
            <w:r>
              <w:rPr>
                <w:rFonts w:cstheme="minorHAnsi"/>
                <w:sz w:val="16"/>
                <w:szCs w:val="16"/>
              </w:rPr>
              <w:t>Participants placed in Apprenticeship</w:t>
            </w:r>
          </w:p>
          <w:p w:rsidR="002420CB" w:rsidRDefault="002420CB" w:rsidP="002420CB">
            <w:pPr>
              <w:pStyle w:val="ListParagraph"/>
              <w:numPr>
                <w:ilvl w:val="0"/>
                <w:numId w:val="31"/>
              </w:numPr>
              <w:ind w:left="162" w:hanging="90"/>
              <w:rPr>
                <w:rFonts w:cstheme="minorHAnsi"/>
                <w:sz w:val="16"/>
                <w:szCs w:val="16"/>
              </w:rPr>
            </w:pPr>
            <w:r>
              <w:rPr>
                <w:rFonts w:cstheme="minorHAnsi"/>
                <w:sz w:val="16"/>
                <w:szCs w:val="16"/>
              </w:rPr>
              <w:t>Participants moved to income above $32,480 (308)</w:t>
            </w:r>
          </w:p>
          <w:p w:rsidR="002420CB" w:rsidRPr="00D814D6" w:rsidRDefault="002420CB" w:rsidP="002420CB">
            <w:pPr>
              <w:pStyle w:val="ListParagraph"/>
              <w:numPr>
                <w:ilvl w:val="0"/>
                <w:numId w:val="31"/>
              </w:numPr>
              <w:ind w:left="162" w:hanging="90"/>
              <w:rPr>
                <w:rFonts w:cstheme="minorHAnsi"/>
                <w:sz w:val="16"/>
                <w:szCs w:val="16"/>
              </w:rPr>
            </w:pPr>
            <w:r>
              <w:rPr>
                <w:rFonts w:cstheme="minorHAnsi"/>
                <w:sz w:val="16"/>
                <w:szCs w:val="16"/>
              </w:rPr>
              <w:t>Households moved above 200% (250)</w:t>
            </w:r>
          </w:p>
        </w:tc>
        <w:tc>
          <w:tcPr>
            <w:tcW w:w="2700" w:type="dxa"/>
          </w:tcPr>
          <w:p w:rsidR="002420CB" w:rsidRPr="00BC00B0" w:rsidRDefault="002420CB" w:rsidP="002420CB">
            <w:pPr>
              <w:ind w:left="162"/>
              <w:rPr>
                <w:rFonts w:cstheme="minorHAnsi"/>
                <w:b/>
                <w:sz w:val="6"/>
                <w:szCs w:val="6"/>
              </w:rPr>
            </w:pPr>
          </w:p>
          <w:p w:rsidR="002420CB" w:rsidRDefault="002420CB" w:rsidP="002420CB">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2420CB" w:rsidRPr="00CE77FE" w:rsidRDefault="002420CB" w:rsidP="002420CB">
            <w:pPr>
              <w:rPr>
                <w:rFonts w:cstheme="minorHAnsi"/>
                <w:b/>
                <w:sz w:val="10"/>
                <w:szCs w:val="10"/>
              </w:rPr>
            </w:pPr>
          </w:p>
          <w:p w:rsidR="002420CB" w:rsidRPr="00032274" w:rsidRDefault="002420CB" w:rsidP="002420CB">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2420CB" w:rsidRPr="00032274" w:rsidRDefault="0031049E" w:rsidP="002420CB">
            <w:pPr>
              <w:ind w:left="72"/>
              <w:rPr>
                <w:rFonts w:eastAsia="Times New Roman" w:cstheme="minorHAnsi"/>
                <w:b/>
                <w:sz w:val="16"/>
                <w:szCs w:val="16"/>
              </w:rPr>
            </w:pPr>
            <w:sdt>
              <w:sdtPr>
                <w:rPr>
                  <w:rFonts w:eastAsia="Times New Roman" w:cstheme="minorHAnsi"/>
                  <w:b/>
                  <w:sz w:val="16"/>
                  <w:szCs w:val="16"/>
                </w:rPr>
                <w:id w:val="-160160364"/>
                <w14:checkbox>
                  <w14:checked w14:val="0"/>
                  <w14:checkedState w14:val="2612" w14:font="MS Gothic"/>
                  <w14:uncheckedState w14:val="2610" w14:font="MS Gothic"/>
                </w14:checkbox>
              </w:sdtPr>
              <w:sdtEndPr/>
              <w:sdtContent>
                <w:r w:rsidR="002420CB" w:rsidRPr="00032274">
                  <w:rPr>
                    <w:rFonts w:ascii="Segoe UI Symbol" w:eastAsia="MS Gothic" w:hAnsi="Segoe UI Symbol" w:cs="Segoe UI Symbol"/>
                    <w:b/>
                    <w:sz w:val="16"/>
                    <w:szCs w:val="16"/>
                  </w:rPr>
                  <w:t>☐</w:t>
                </w:r>
              </w:sdtContent>
            </w:sdt>
            <w:r w:rsidR="002420CB" w:rsidRPr="00032274">
              <w:rPr>
                <w:rFonts w:eastAsia="Times New Roman" w:cstheme="minorHAnsi"/>
                <w:b/>
                <w:sz w:val="16"/>
                <w:szCs w:val="16"/>
              </w:rPr>
              <w:t xml:space="preserve"> YES, No Issues Identified</w:t>
            </w:r>
          </w:p>
          <w:p w:rsidR="002420CB" w:rsidRDefault="0031049E" w:rsidP="002420CB">
            <w:pPr>
              <w:ind w:left="72"/>
              <w:rPr>
                <w:rFonts w:eastAsia="Times New Roman" w:cstheme="minorHAnsi"/>
                <w:b/>
                <w:sz w:val="16"/>
                <w:szCs w:val="16"/>
              </w:rPr>
            </w:pPr>
            <w:sdt>
              <w:sdtPr>
                <w:rPr>
                  <w:rFonts w:eastAsia="Times New Roman" w:cstheme="minorHAnsi"/>
                  <w:b/>
                  <w:sz w:val="16"/>
                  <w:szCs w:val="16"/>
                </w:rPr>
                <w:id w:val="-402611036"/>
                <w14:checkbox>
                  <w14:checked w14:val="0"/>
                  <w14:checkedState w14:val="2612" w14:font="MS Gothic"/>
                  <w14:uncheckedState w14:val="2610" w14:font="MS Gothic"/>
                </w14:checkbox>
              </w:sdtPr>
              <w:sdtEndPr/>
              <w:sdtContent>
                <w:r w:rsidR="002420CB" w:rsidRPr="00032274">
                  <w:rPr>
                    <w:rFonts w:ascii="Segoe UI Symbol" w:eastAsia="Times New Roman" w:hAnsi="Segoe UI Symbol" w:cs="Segoe UI Symbol"/>
                    <w:b/>
                    <w:sz w:val="16"/>
                    <w:szCs w:val="16"/>
                  </w:rPr>
                  <w:t>☐</w:t>
                </w:r>
              </w:sdtContent>
            </w:sdt>
            <w:r w:rsidR="002420CB" w:rsidRPr="00032274">
              <w:rPr>
                <w:rFonts w:eastAsia="Times New Roman" w:cstheme="minorHAnsi"/>
                <w:b/>
                <w:sz w:val="16"/>
                <w:szCs w:val="16"/>
              </w:rPr>
              <w:t xml:space="preserve"> N</w:t>
            </w:r>
            <w:r w:rsidR="002420CB" w:rsidRPr="00032274">
              <w:rPr>
                <w:rFonts w:eastAsia="Times New Roman" w:cstheme="minorHAnsi"/>
                <w:b/>
                <w:caps/>
                <w:sz w:val="16"/>
                <w:szCs w:val="16"/>
              </w:rPr>
              <w:t>o</w:t>
            </w:r>
            <w:r w:rsidR="002420CB" w:rsidRPr="00032274">
              <w:rPr>
                <w:rFonts w:eastAsia="Times New Roman" w:cstheme="minorHAnsi"/>
                <w:b/>
                <w:sz w:val="16"/>
                <w:szCs w:val="16"/>
              </w:rPr>
              <w:t xml:space="preserve">, LWDB did not meet </w:t>
            </w:r>
          </w:p>
          <w:p w:rsidR="002420CB" w:rsidRDefault="002420CB" w:rsidP="002420CB">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2420CB" w:rsidRPr="00032274" w:rsidRDefault="002420CB" w:rsidP="002420CB">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2420CB" w:rsidRPr="007E7F09" w:rsidRDefault="002420CB" w:rsidP="002420CB">
            <w:pPr>
              <w:rPr>
                <w:rFonts w:cstheme="minorHAnsi"/>
                <w:b/>
                <w:sz w:val="10"/>
                <w:szCs w:val="10"/>
              </w:rPr>
            </w:pPr>
            <w:r w:rsidRPr="00A410A7">
              <w:rPr>
                <w:rFonts w:cstheme="minorHAnsi"/>
                <w:b/>
                <w:sz w:val="16"/>
                <w:szCs w:val="16"/>
              </w:rPr>
              <w:t xml:space="preserve"> </w:t>
            </w:r>
          </w:p>
          <w:p w:rsidR="002420CB" w:rsidRDefault="002420CB" w:rsidP="002420CB">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2420CB" w:rsidRPr="00CE77FE" w:rsidRDefault="002420CB" w:rsidP="002420CB">
            <w:pPr>
              <w:shd w:val="clear" w:color="auto" w:fill="E2EFD9" w:themeFill="accent6" w:themeFillTint="33"/>
              <w:rPr>
                <w:rFonts w:cstheme="minorHAnsi"/>
                <w:b/>
                <w:sz w:val="10"/>
                <w:szCs w:val="10"/>
              </w:rPr>
            </w:pPr>
          </w:p>
          <w:p w:rsidR="002420CB" w:rsidRPr="00CE77FE" w:rsidRDefault="002420CB" w:rsidP="002420CB">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Element 4(</w:t>
            </w:r>
            <w:r w:rsidRPr="002420CB">
              <w:rPr>
                <w:rFonts w:cstheme="minorHAnsi"/>
                <w:b/>
                <w:sz w:val="12"/>
                <w:szCs w:val="12"/>
              </w:rPr>
              <w:t>1</w:t>
            </w:r>
            <w:r w:rsidRPr="00CE77FE">
              <w:rPr>
                <w:rFonts w:cstheme="minorHAnsi"/>
                <w:b/>
                <w:sz w:val="16"/>
                <w:szCs w:val="16"/>
              </w:rPr>
              <w:t xml:space="preserve">) of EcSA file checklist, </w:t>
            </w:r>
            <w:r>
              <w:rPr>
                <w:rFonts w:cstheme="minorHAnsi"/>
                <w:b/>
                <w:sz w:val="16"/>
                <w:szCs w:val="16"/>
              </w:rPr>
              <w:t>“Career Plans”</w:t>
            </w:r>
            <w:r w:rsidRPr="00CE77FE">
              <w:rPr>
                <w:rFonts w:cstheme="minorHAnsi"/>
                <w:b/>
                <w:sz w:val="16"/>
                <w:szCs w:val="16"/>
              </w:rPr>
              <w:t>:</w:t>
            </w:r>
          </w:p>
          <w:p w:rsidR="002420CB" w:rsidRPr="00A410A7" w:rsidRDefault="0031049E" w:rsidP="002420CB">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715035814"/>
                <w14:checkbox>
                  <w14:checked w14:val="0"/>
                  <w14:checkedState w14:val="2612" w14:font="MS Gothic"/>
                  <w14:uncheckedState w14:val="2610" w14:font="MS Gothic"/>
                </w14:checkbox>
              </w:sdtPr>
              <w:sdtEndPr/>
              <w:sdtContent>
                <w:r w:rsidR="002420CB" w:rsidRPr="00A410A7">
                  <w:rPr>
                    <w:rFonts w:ascii="Segoe UI Symbol" w:eastAsia="Times New Roman" w:hAnsi="Segoe UI Symbol" w:cs="Segoe UI Symbol"/>
                    <w:b/>
                    <w:sz w:val="16"/>
                    <w:szCs w:val="16"/>
                  </w:rPr>
                  <w:t>☐</w:t>
                </w:r>
              </w:sdtContent>
            </w:sdt>
            <w:r w:rsidR="002420CB" w:rsidRPr="00A410A7">
              <w:rPr>
                <w:rFonts w:eastAsia="Times New Roman" w:cstheme="minorHAnsi"/>
                <w:b/>
                <w:sz w:val="16"/>
                <w:szCs w:val="16"/>
              </w:rPr>
              <w:t xml:space="preserve"> YES, No Issues Identified</w:t>
            </w:r>
          </w:p>
          <w:p w:rsidR="002420CB" w:rsidRPr="003264B6" w:rsidRDefault="0031049E" w:rsidP="002420CB">
            <w:pPr>
              <w:shd w:val="clear" w:color="auto" w:fill="E2EFD9" w:themeFill="accent6" w:themeFillTint="33"/>
              <w:ind w:left="342" w:hanging="180"/>
              <w:rPr>
                <w:sz w:val="16"/>
                <w:szCs w:val="16"/>
              </w:rPr>
            </w:pPr>
            <w:sdt>
              <w:sdtPr>
                <w:rPr>
                  <w:rFonts w:eastAsia="Times New Roman" w:cstheme="minorHAnsi"/>
                  <w:b/>
                  <w:sz w:val="16"/>
                  <w:szCs w:val="16"/>
                </w:rPr>
                <w:id w:val="1837804989"/>
                <w14:checkbox>
                  <w14:checked w14:val="0"/>
                  <w14:checkedState w14:val="2612" w14:font="MS Gothic"/>
                  <w14:uncheckedState w14:val="2610" w14:font="MS Gothic"/>
                </w14:checkbox>
              </w:sdtPr>
              <w:sdtEndPr/>
              <w:sdtContent>
                <w:r w:rsidR="002420CB" w:rsidRPr="00A410A7">
                  <w:rPr>
                    <w:rFonts w:ascii="Segoe UI Symbol" w:eastAsia="Times New Roman" w:hAnsi="Segoe UI Symbol" w:cs="Segoe UI Symbol"/>
                    <w:b/>
                    <w:sz w:val="16"/>
                    <w:szCs w:val="16"/>
                  </w:rPr>
                  <w:t>☐</w:t>
                </w:r>
              </w:sdtContent>
            </w:sdt>
            <w:r w:rsidR="002420CB" w:rsidRPr="00A410A7">
              <w:rPr>
                <w:rFonts w:eastAsia="Times New Roman" w:cstheme="minorHAnsi"/>
                <w:b/>
                <w:sz w:val="16"/>
                <w:szCs w:val="16"/>
              </w:rPr>
              <w:t xml:space="preserve"> NO, one or more issues identified</w:t>
            </w:r>
          </w:p>
        </w:tc>
        <w:tc>
          <w:tcPr>
            <w:tcW w:w="1980" w:type="dxa"/>
            <w:tcBorders>
              <w:top w:val="single" w:sz="4" w:space="0" w:color="auto"/>
              <w:bottom w:val="single" w:sz="4" w:space="0" w:color="auto"/>
            </w:tcBorders>
          </w:tcPr>
          <w:p w:rsidR="002420CB" w:rsidRPr="003264B6" w:rsidRDefault="002420CB" w:rsidP="002420CB">
            <w:pPr>
              <w:rPr>
                <w:rFonts w:eastAsia="Times New Roman" w:cstheme="minorHAnsi"/>
                <w:sz w:val="6"/>
                <w:szCs w:val="6"/>
              </w:rPr>
            </w:pPr>
          </w:p>
          <w:p w:rsidR="002420CB" w:rsidRPr="003264B6" w:rsidRDefault="002420CB" w:rsidP="002420CB">
            <w:pPr>
              <w:rPr>
                <w:rFonts w:eastAsia="Times New Roman" w:cstheme="minorHAnsi"/>
                <w:sz w:val="14"/>
                <w:szCs w:val="14"/>
              </w:rPr>
            </w:pPr>
          </w:p>
        </w:tc>
      </w:tr>
      <w:tr w:rsidR="00C50071" w:rsidTr="00C50071">
        <w:tc>
          <w:tcPr>
            <w:tcW w:w="2515" w:type="dxa"/>
          </w:tcPr>
          <w:p w:rsidR="00C50071" w:rsidRDefault="00C50071" w:rsidP="00C50071">
            <w:pPr>
              <w:rPr>
                <w:rFonts w:cstheme="minorHAnsi"/>
                <w:sz w:val="16"/>
                <w:szCs w:val="16"/>
              </w:rPr>
            </w:pPr>
            <w:r w:rsidRPr="00D814D6">
              <w:rPr>
                <w:rFonts w:cstheme="minorHAnsi"/>
                <w:b/>
                <w:sz w:val="16"/>
                <w:szCs w:val="16"/>
              </w:rPr>
              <w:t>Task 4:</w:t>
            </w:r>
            <w:r w:rsidRPr="00D814D6">
              <w:rPr>
                <w:rFonts w:cstheme="minorHAnsi"/>
                <w:sz w:val="16"/>
                <w:szCs w:val="16"/>
              </w:rPr>
              <w:t xml:space="preserve"> </w:t>
            </w:r>
            <w:r>
              <w:rPr>
                <w:rFonts w:cstheme="minorHAnsi"/>
                <w:sz w:val="16"/>
                <w:szCs w:val="16"/>
              </w:rPr>
              <w:t>Mentors</w:t>
            </w:r>
          </w:p>
          <w:p w:rsidR="00C50071" w:rsidRDefault="00C50071" w:rsidP="00C50071">
            <w:pPr>
              <w:rPr>
                <w:rFonts w:cstheme="minorHAnsi"/>
                <w:sz w:val="16"/>
                <w:szCs w:val="16"/>
              </w:rPr>
            </w:pPr>
          </w:p>
          <w:p w:rsidR="00C50071" w:rsidRPr="00D814D6" w:rsidRDefault="00C50071" w:rsidP="00C50071">
            <w:pPr>
              <w:rPr>
                <w:rFonts w:cstheme="minorHAnsi"/>
                <w:sz w:val="16"/>
                <w:szCs w:val="16"/>
              </w:rPr>
            </w:pPr>
            <w:r>
              <w:rPr>
                <w:rFonts w:cstheme="minorHAnsi"/>
                <w:sz w:val="16"/>
                <w:szCs w:val="16"/>
              </w:rPr>
              <w:t xml:space="preserve">Work With partners to provide community mentors so that the participants feel strong support from their peers and community. </w:t>
            </w:r>
          </w:p>
        </w:tc>
        <w:tc>
          <w:tcPr>
            <w:tcW w:w="1260" w:type="dxa"/>
          </w:tcPr>
          <w:p w:rsidR="00C50071" w:rsidRPr="00D814D6" w:rsidRDefault="00C50071" w:rsidP="00C50071">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C50071" w:rsidRPr="00610507" w:rsidRDefault="00C50071" w:rsidP="00C50071">
            <w:pPr>
              <w:pStyle w:val="ListParagraph"/>
              <w:numPr>
                <w:ilvl w:val="0"/>
                <w:numId w:val="32"/>
              </w:numPr>
              <w:ind w:left="252" w:hanging="252"/>
              <w:rPr>
                <w:rFonts w:cstheme="minorHAnsi"/>
                <w:sz w:val="16"/>
                <w:szCs w:val="16"/>
              </w:rPr>
            </w:pPr>
            <w:r>
              <w:rPr>
                <w:rFonts w:cstheme="minorHAnsi"/>
                <w:sz w:val="16"/>
                <w:szCs w:val="16"/>
              </w:rPr>
              <w:t>Submit a Mentorship Activities Plan as described in section 2 below;</w:t>
            </w:r>
          </w:p>
          <w:p w:rsidR="00C50071" w:rsidRDefault="00C50071" w:rsidP="00C50071">
            <w:pPr>
              <w:pStyle w:val="ListParagraph"/>
              <w:numPr>
                <w:ilvl w:val="0"/>
                <w:numId w:val="32"/>
              </w:numPr>
              <w:shd w:val="clear" w:color="auto" w:fill="E2EFD9" w:themeFill="accent6" w:themeFillTint="33"/>
              <w:ind w:left="252" w:hanging="252"/>
              <w:rPr>
                <w:rFonts w:cstheme="minorHAnsi"/>
                <w:sz w:val="16"/>
                <w:szCs w:val="16"/>
              </w:rPr>
            </w:pPr>
            <w:r>
              <w:rPr>
                <w:rFonts w:cstheme="minorHAnsi"/>
                <w:sz w:val="16"/>
                <w:szCs w:val="16"/>
              </w:rPr>
              <w:t>Provide all participants with community mentorship as outlined in EcSA application sections 3.a., 3.c., and 4.c., including organizing weekly workshops for mentees.</w:t>
            </w:r>
          </w:p>
          <w:p w:rsidR="00C50071" w:rsidRPr="00610507" w:rsidRDefault="00C50071" w:rsidP="00C50071">
            <w:pPr>
              <w:pStyle w:val="ListParagraph"/>
              <w:numPr>
                <w:ilvl w:val="0"/>
                <w:numId w:val="32"/>
              </w:numPr>
              <w:shd w:val="clear" w:color="auto" w:fill="E2EFD9" w:themeFill="accent6" w:themeFillTint="33"/>
              <w:ind w:left="252" w:hanging="252"/>
              <w:rPr>
                <w:rFonts w:cstheme="minorHAnsi"/>
                <w:sz w:val="16"/>
                <w:szCs w:val="16"/>
              </w:rPr>
            </w:pPr>
            <w:r>
              <w:rPr>
                <w:rFonts w:cstheme="minorHAnsi"/>
                <w:sz w:val="16"/>
                <w:szCs w:val="16"/>
              </w:rPr>
              <w:t xml:space="preserve">Provide targeted one-to-one mentoring, by employers, coworkers, community members or partner staff. Will be documented in participant case notes. </w:t>
            </w:r>
          </w:p>
        </w:tc>
        <w:tc>
          <w:tcPr>
            <w:tcW w:w="3240" w:type="dxa"/>
          </w:tcPr>
          <w:p w:rsidR="00C50071" w:rsidRDefault="00C50071" w:rsidP="00C50071">
            <w:pPr>
              <w:pStyle w:val="ListParagraph"/>
              <w:numPr>
                <w:ilvl w:val="0"/>
                <w:numId w:val="33"/>
              </w:numPr>
              <w:ind w:left="162" w:hanging="90"/>
              <w:rPr>
                <w:rFonts w:cstheme="minorHAnsi"/>
                <w:sz w:val="16"/>
                <w:szCs w:val="16"/>
              </w:rPr>
            </w:pPr>
            <w:r>
              <w:rPr>
                <w:rFonts w:cstheme="minorHAnsi"/>
                <w:sz w:val="16"/>
                <w:szCs w:val="16"/>
              </w:rPr>
              <w:t>Mentorship Activities Plan</w:t>
            </w:r>
          </w:p>
          <w:p w:rsidR="00C50071" w:rsidRDefault="00C50071" w:rsidP="00C50071">
            <w:pPr>
              <w:pStyle w:val="ListParagraph"/>
              <w:numPr>
                <w:ilvl w:val="0"/>
                <w:numId w:val="33"/>
              </w:numPr>
              <w:shd w:val="clear" w:color="auto" w:fill="E2EFD9" w:themeFill="accent6" w:themeFillTint="33"/>
              <w:ind w:left="162" w:hanging="90"/>
              <w:rPr>
                <w:rFonts w:cstheme="minorHAnsi"/>
                <w:sz w:val="16"/>
                <w:szCs w:val="16"/>
              </w:rPr>
            </w:pPr>
            <w:r>
              <w:rPr>
                <w:rFonts w:cstheme="minorHAnsi"/>
                <w:sz w:val="16"/>
                <w:szCs w:val="16"/>
              </w:rPr>
              <w:t>Participants connected to One on One Mentorship</w:t>
            </w:r>
          </w:p>
          <w:p w:rsidR="00C50071" w:rsidRDefault="00C50071" w:rsidP="00C50071">
            <w:pPr>
              <w:pStyle w:val="ListParagraph"/>
              <w:numPr>
                <w:ilvl w:val="0"/>
                <w:numId w:val="33"/>
              </w:numPr>
              <w:shd w:val="clear" w:color="auto" w:fill="E2EFD9" w:themeFill="accent6" w:themeFillTint="33"/>
              <w:ind w:left="162" w:hanging="90"/>
              <w:rPr>
                <w:rFonts w:cstheme="minorHAnsi"/>
                <w:sz w:val="16"/>
                <w:szCs w:val="16"/>
              </w:rPr>
            </w:pPr>
            <w:r>
              <w:rPr>
                <w:rFonts w:cstheme="minorHAnsi"/>
                <w:sz w:val="16"/>
                <w:szCs w:val="16"/>
              </w:rPr>
              <w:t>Mentorship Opportunities attended</w:t>
            </w:r>
          </w:p>
          <w:p w:rsidR="00C50071" w:rsidRPr="00D814D6" w:rsidRDefault="00C50071" w:rsidP="00C50071">
            <w:pPr>
              <w:pStyle w:val="ListParagraph"/>
              <w:numPr>
                <w:ilvl w:val="0"/>
                <w:numId w:val="33"/>
              </w:numPr>
              <w:ind w:left="162" w:hanging="90"/>
              <w:rPr>
                <w:rFonts w:cstheme="minorHAnsi"/>
                <w:sz w:val="16"/>
                <w:szCs w:val="16"/>
              </w:rPr>
            </w:pPr>
            <w:r>
              <w:rPr>
                <w:rFonts w:cstheme="minorHAnsi"/>
                <w:sz w:val="16"/>
                <w:szCs w:val="16"/>
              </w:rPr>
              <w:t>Progress and activities must be provided to ESD in Quarterly Narrative Reports as outlined in section 2 below, including: descriptions of events held, attendance records, and description of specific mentors engaged</w:t>
            </w:r>
          </w:p>
        </w:tc>
        <w:tc>
          <w:tcPr>
            <w:tcW w:w="2700" w:type="dxa"/>
          </w:tcPr>
          <w:p w:rsidR="00C50071" w:rsidRDefault="00C50071" w:rsidP="00C50071">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C50071" w:rsidRPr="00CE77FE" w:rsidRDefault="00C50071" w:rsidP="00C50071">
            <w:pPr>
              <w:rPr>
                <w:rFonts w:cstheme="minorHAnsi"/>
                <w:b/>
                <w:sz w:val="10"/>
                <w:szCs w:val="10"/>
              </w:rPr>
            </w:pPr>
          </w:p>
          <w:p w:rsidR="00C50071" w:rsidRPr="00032274" w:rsidRDefault="00C50071" w:rsidP="00C50071">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C50071" w:rsidRPr="00032274" w:rsidRDefault="0031049E" w:rsidP="00C50071">
            <w:pPr>
              <w:ind w:left="72"/>
              <w:rPr>
                <w:rFonts w:eastAsia="Times New Roman" w:cstheme="minorHAnsi"/>
                <w:b/>
                <w:sz w:val="16"/>
                <w:szCs w:val="16"/>
              </w:rPr>
            </w:pPr>
            <w:sdt>
              <w:sdtPr>
                <w:rPr>
                  <w:rFonts w:eastAsia="Times New Roman" w:cstheme="minorHAnsi"/>
                  <w:b/>
                  <w:sz w:val="16"/>
                  <w:szCs w:val="16"/>
                </w:rPr>
                <w:id w:val="-690993215"/>
                <w14:checkbox>
                  <w14:checked w14:val="0"/>
                  <w14:checkedState w14:val="2612" w14:font="MS Gothic"/>
                  <w14:uncheckedState w14:val="2610" w14:font="MS Gothic"/>
                </w14:checkbox>
              </w:sdtPr>
              <w:sdtEndPr/>
              <w:sdtContent>
                <w:r w:rsidR="00C50071" w:rsidRPr="00032274">
                  <w:rPr>
                    <w:rFonts w:ascii="Segoe UI Symbol" w:eastAsia="MS Gothic" w:hAnsi="Segoe UI Symbol" w:cs="Segoe UI Symbol"/>
                    <w:b/>
                    <w:sz w:val="16"/>
                    <w:szCs w:val="16"/>
                  </w:rPr>
                  <w:t>☐</w:t>
                </w:r>
              </w:sdtContent>
            </w:sdt>
            <w:r w:rsidR="00C50071" w:rsidRPr="00032274">
              <w:rPr>
                <w:rFonts w:eastAsia="Times New Roman" w:cstheme="minorHAnsi"/>
                <w:b/>
                <w:sz w:val="16"/>
                <w:szCs w:val="16"/>
              </w:rPr>
              <w:t xml:space="preserve"> YES, No Issues Identified</w:t>
            </w:r>
          </w:p>
          <w:p w:rsidR="00C50071" w:rsidRDefault="0031049E" w:rsidP="00C50071">
            <w:pPr>
              <w:ind w:left="72"/>
              <w:rPr>
                <w:rFonts w:eastAsia="Times New Roman" w:cstheme="minorHAnsi"/>
                <w:b/>
                <w:sz w:val="16"/>
                <w:szCs w:val="16"/>
              </w:rPr>
            </w:pPr>
            <w:sdt>
              <w:sdtPr>
                <w:rPr>
                  <w:rFonts w:eastAsia="Times New Roman" w:cstheme="minorHAnsi"/>
                  <w:b/>
                  <w:sz w:val="16"/>
                  <w:szCs w:val="16"/>
                </w:rPr>
                <w:id w:val="434182398"/>
                <w14:checkbox>
                  <w14:checked w14:val="0"/>
                  <w14:checkedState w14:val="2612" w14:font="MS Gothic"/>
                  <w14:uncheckedState w14:val="2610" w14:font="MS Gothic"/>
                </w14:checkbox>
              </w:sdtPr>
              <w:sdtEndPr/>
              <w:sdtContent>
                <w:r w:rsidR="00C50071" w:rsidRPr="00032274">
                  <w:rPr>
                    <w:rFonts w:ascii="Segoe UI Symbol" w:eastAsia="Times New Roman" w:hAnsi="Segoe UI Symbol" w:cs="Segoe UI Symbol"/>
                    <w:b/>
                    <w:sz w:val="16"/>
                    <w:szCs w:val="16"/>
                  </w:rPr>
                  <w:t>☐</w:t>
                </w:r>
              </w:sdtContent>
            </w:sdt>
            <w:r w:rsidR="00C50071" w:rsidRPr="00032274">
              <w:rPr>
                <w:rFonts w:eastAsia="Times New Roman" w:cstheme="minorHAnsi"/>
                <w:b/>
                <w:sz w:val="16"/>
                <w:szCs w:val="16"/>
              </w:rPr>
              <w:t xml:space="preserve"> N</w:t>
            </w:r>
            <w:r w:rsidR="00C50071" w:rsidRPr="00032274">
              <w:rPr>
                <w:rFonts w:eastAsia="Times New Roman" w:cstheme="minorHAnsi"/>
                <w:b/>
                <w:caps/>
                <w:sz w:val="16"/>
                <w:szCs w:val="16"/>
              </w:rPr>
              <w:t>o</w:t>
            </w:r>
            <w:r w:rsidR="00C50071" w:rsidRPr="00032274">
              <w:rPr>
                <w:rFonts w:eastAsia="Times New Roman" w:cstheme="minorHAnsi"/>
                <w:b/>
                <w:sz w:val="16"/>
                <w:szCs w:val="16"/>
              </w:rPr>
              <w:t xml:space="preserve">, LWDB did not meet </w:t>
            </w:r>
          </w:p>
          <w:p w:rsidR="00C50071" w:rsidRDefault="00C50071" w:rsidP="00C50071">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C50071" w:rsidRPr="00032274" w:rsidRDefault="00C50071" w:rsidP="00C50071">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C50071" w:rsidRPr="009647A0" w:rsidRDefault="00C50071" w:rsidP="00C50071">
            <w:pPr>
              <w:rPr>
                <w:rFonts w:cstheme="minorHAnsi"/>
                <w:b/>
                <w:sz w:val="10"/>
                <w:szCs w:val="10"/>
              </w:rPr>
            </w:pPr>
            <w:r w:rsidRPr="00A410A7">
              <w:rPr>
                <w:rFonts w:cstheme="minorHAnsi"/>
                <w:b/>
                <w:sz w:val="16"/>
                <w:szCs w:val="16"/>
              </w:rPr>
              <w:t xml:space="preserve"> </w:t>
            </w:r>
          </w:p>
          <w:p w:rsidR="00C50071" w:rsidRDefault="00C50071" w:rsidP="00C50071">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C50071" w:rsidRPr="00CE77FE" w:rsidRDefault="00C50071" w:rsidP="00C50071">
            <w:pPr>
              <w:shd w:val="clear" w:color="auto" w:fill="E2EFD9" w:themeFill="accent6" w:themeFillTint="33"/>
              <w:rPr>
                <w:rFonts w:cstheme="minorHAnsi"/>
                <w:b/>
                <w:sz w:val="10"/>
                <w:szCs w:val="10"/>
              </w:rPr>
            </w:pPr>
          </w:p>
          <w:p w:rsidR="00C50071" w:rsidRPr="00CE77FE" w:rsidRDefault="00C50071" w:rsidP="00C50071">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Element 4(</w:t>
            </w:r>
            <w:r w:rsidRPr="00C50071">
              <w:rPr>
                <w:rFonts w:cstheme="minorHAnsi"/>
                <w:b/>
                <w:sz w:val="12"/>
                <w:szCs w:val="12"/>
              </w:rPr>
              <w:t>2</w:t>
            </w:r>
            <w:r w:rsidRPr="00CE77FE">
              <w:rPr>
                <w:rFonts w:cstheme="minorHAnsi"/>
                <w:b/>
                <w:sz w:val="16"/>
                <w:szCs w:val="16"/>
              </w:rPr>
              <w:t xml:space="preserve">) of EcSA file checklist, </w:t>
            </w:r>
            <w:r>
              <w:rPr>
                <w:rFonts w:cstheme="minorHAnsi"/>
                <w:b/>
                <w:sz w:val="16"/>
                <w:szCs w:val="16"/>
              </w:rPr>
              <w:t>“Mentorships”</w:t>
            </w:r>
            <w:r w:rsidRPr="00CE77FE">
              <w:rPr>
                <w:rFonts w:cstheme="minorHAnsi"/>
                <w:b/>
                <w:sz w:val="16"/>
                <w:szCs w:val="16"/>
              </w:rPr>
              <w:t>:</w:t>
            </w:r>
          </w:p>
          <w:p w:rsidR="00C50071" w:rsidRPr="00A410A7" w:rsidRDefault="0031049E" w:rsidP="00C50071">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00548161"/>
                <w14:checkbox>
                  <w14:checked w14:val="0"/>
                  <w14:checkedState w14:val="2612" w14:font="MS Gothic"/>
                  <w14:uncheckedState w14:val="2610" w14:font="MS Gothic"/>
                </w14:checkbox>
              </w:sdtPr>
              <w:sdtEndPr/>
              <w:sdtContent>
                <w:r w:rsidR="00C50071" w:rsidRPr="00A410A7">
                  <w:rPr>
                    <w:rFonts w:ascii="Segoe UI Symbol" w:eastAsia="Times New Roman" w:hAnsi="Segoe UI Symbol" w:cs="Segoe UI Symbol"/>
                    <w:b/>
                    <w:sz w:val="16"/>
                    <w:szCs w:val="16"/>
                  </w:rPr>
                  <w:t>☐</w:t>
                </w:r>
              </w:sdtContent>
            </w:sdt>
            <w:r w:rsidR="00C50071" w:rsidRPr="00A410A7">
              <w:rPr>
                <w:rFonts w:eastAsia="Times New Roman" w:cstheme="minorHAnsi"/>
                <w:b/>
                <w:sz w:val="16"/>
                <w:szCs w:val="16"/>
              </w:rPr>
              <w:t xml:space="preserve"> YES, No Issues Identified</w:t>
            </w:r>
          </w:p>
          <w:p w:rsidR="00C50071" w:rsidRPr="00A410A7" w:rsidRDefault="0031049E" w:rsidP="00C50071">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2069100142"/>
                <w14:checkbox>
                  <w14:checked w14:val="0"/>
                  <w14:checkedState w14:val="2612" w14:font="MS Gothic"/>
                  <w14:uncheckedState w14:val="2610" w14:font="MS Gothic"/>
                </w14:checkbox>
              </w:sdtPr>
              <w:sdtEndPr/>
              <w:sdtContent>
                <w:r w:rsidR="00C50071" w:rsidRPr="00A410A7">
                  <w:rPr>
                    <w:rFonts w:ascii="Segoe UI Symbol" w:eastAsia="Times New Roman" w:hAnsi="Segoe UI Symbol" w:cs="Segoe UI Symbol"/>
                    <w:b/>
                    <w:sz w:val="16"/>
                    <w:szCs w:val="16"/>
                  </w:rPr>
                  <w:t>☐</w:t>
                </w:r>
              </w:sdtContent>
            </w:sdt>
            <w:r w:rsidR="00C50071" w:rsidRPr="00A410A7">
              <w:rPr>
                <w:rFonts w:eastAsia="Times New Roman" w:cstheme="minorHAnsi"/>
                <w:b/>
                <w:sz w:val="16"/>
                <w:szCs w:val="16"/>
              </w:rPr>
              <w:t xml:space="preserve"> NO, one or more issues identified</w:t>
            </w:r>
          </w:p>
          <w:p w:rsidR="00C50071" w:rsidRPr="009647A0" w:rsidRDefault="00C50071" w:rsidP="00C50071">
            <w:pPr>
              <w:ind w:left="164"/>
              <w:rPr>
                <w:rFonts w:cstheme="minorHAnsi"/>
                <w:b/>
                <w:sz w:val="10"/>
                <w:szCs w:val="10"/>
              </w:rPr>
            </w:pPr>
          </w:p>
        </w:tc>
        <w:tc>
          <w:tcPr>
            <w:tcW w:w="1980" w:type="dxa"/>
            <w:tcBorders>
              <w:top w:val="single" w:sz="4" w:space="0" w:color="auto"/>
              <w:bottom w:val="single" w:sz="4" w:space="0" w:color="auto"/>
            </w:tcBorders>
          </w:tcPr>
          <w:p w:rsidR="00C50071" w:rsidRPr="003264B6" w:rsidRDefault="00C50071" w:rsidP="00C50071">
            <w:pPr>
              <w:rPr>
                <w:rFonts w:eastAsia="Times New Roman" w:cstheme="minorHAnsi"/>
                <w:sz w:val="14"/>
                <w:szCs w:val="14"/>
              </w:rPr>
            </w:pPr>
          </w:p>
        </w:tc>
      </w:tr>
    </w:tbl>
    <w:p w:rsidR="005A43FF" w:rsidRDefault="005A43FF">
      <w:r>
        <w:br w:type="page"/>
      </w:r>
    </w:p>
    <w:tbl>
      <w:tblPr>
        <w:tblStyle w:val="TableGrid"/>
        <w:tblW w:w="14935" w:type="dxa"/>
        <w:tblLook w:val="04A0" w:firstRow="1" w:lastRow="0" w:firstColumn="1" w:lastColumn="0" w:noHBand="0" w:noVBand="1"/>
      </w:tblPr>
      <w:tblGrid>
        <w:gridCol w:w="2515"/>
        <w:gridCol w:w="1260"/>
        <w:gridCol w:w="3240"/>
        <w:gridCol w:w="3240"/>
        <w:gridCol w:w="2700"/>
        <w:gridCol w:w="1980"/>
      </w:tblGrid>
      <w:tr w:rsidR="00E04398" w:rsidTr="00C50071">
        <w:tc>
          <w:tcPr>
            <w:tcW w:w="2515" w:type="dxa"/>
            <w:shd w:val="clear" w:color="auto" w:fill="auto"/>
          </w:tcPr>
          <w:p w:rsidR="00E04398" w:rsidRDefault="00E04398" w:rsidP="00E04398">
            <w:pPr>
              <w:rPr>
                <w:rFonts w:cstheme="minorHAnsi"/>
                <w:sz w:val="16"/>
                <w:szCs w:val="16"/>
              </w:rPr>
            </w:pPr>
            <w:r>
              <w:rPr>
                <w:rFonts w:cstheme="minorHAnsi"/>
                <w:b/>
                <w:sz w:val="16"/>
                <w:szCs w:val="16"/>
              </w:rPr>
              <w:lastRenderedPageBreak/>
              <w:t>Task 5</w:t>
            </w:r>
            <w:r w:rsidRPr="00D814D6">
              <w:rPr>
                <w:rFonts w:cstheme="minorHAnsi"/>
                <w:b/>
                <w:sz w:val="16"/>
                <w:szCs w:val="16"/>
              </w:rPr>
              <w:t>:</w:t>
            </w:r>
            <w:r w:rsidRPr="00D814D6">
              <w:rPr>
                <w:rFonts w:cstheme="minorHAnsi"/>
                <w:sz w:val="16"/>
                <w:szCs w:val="16"/>
              </w:rPr>
              <w:t xml:space="preserve"> </w:t>
            </w:r>
            <w:r>
              <w:rPr>
                <w:rFonts w:cstheme="minorHAnsi"/>
                <w:sz w:val="16"/>
                <w:szCs w:val="16"/>
              </w:rPr>
              <w:t>Personal Stability</w:t>
            </w:r>
          </w:p>
          <w:p w:rsidR="00E04398" w:rsidRDefault="00E04398" w:rsidP="00E04398">
            <w:pPr>
              <w:rPr>
                <w:rFonts w:cstheme="minorHAnsi"/>
                <w:sz w:val="16"/>
                <w:szCs w:val="16"/>
              </w:rPr>
            </w:pPr>
          </w:p>
          <w:p w:rsidR="00E04398" w:rsidRPr="00611E03" w:rsidRDefault="00E04398" w:rsidP="00E04398">
            <w:pPr>
              <w:rPr>
                <w:rFonts w:cstheme="minorHAnsi"/>
                <w:sz w:val="16"/>
                <w:szCs w:val="16"/>
                <w:highlight w:val="yellow"/>
              </w:rPr>
            </w:pPr>
            <w:r>
              <w:rPr>
                <w:rFonts w:cstheme="minorHAnsi"/>
                <w:sz w:val="16"/>
                <w:szCs w:val="16"/>
              </w:rPr>
              <w:t xml:space="preserve">Work with partners to help EcSA participants establish personal stability as a foundation for success. </w:t>
            </w:r>
            <w:r w:rsidRPr="00611E03">
              <w:rPr>
                <w:rFonts w:cstheme="minorHAnsi"/>
                <w:sz w:val="16"/>
                <w:szCs w:val="16"/>
                <w:highlight w:val="yellow"/>
              </w:rPr>
              <w:t xml:space="preserve"> </w:t>
            </w:r>
          </w:p>
          <w:p w:rsidR="00E04398" w:rsidRPr="00D814D6" w:rsidRDefault="00E04398" w:rsidP="00E04398">
            <w:pPr>
              <w:rPr>
                <w:rFonts w:cstheme="minorHAnsi"/>
                <w:b/>
                <w:sz w:val="16"/>
                <w:szCs w:val="16"/>
              </w:rPr>
            </w:pPr>
          </w:p>
        </w:tc>
        <w:tc>
          <w:tcPr>
            <w:tcW w:w="1260" w:type="dxa"/>
          </w:tcPr>
          <w:p w:rsidR="00E04398" w:rsidRPr="00D814D6" w:rsidRDefault="00E04398" w:rsidP="00E04398">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E04398" w:rsidRPr="005A43FF" w:rsidRDefault="00E04398" w:rsidP="00E04398">
            <w:pPr>
              <w:pStyle w:val="ListParagraph"/>
              <w:numPr>
                <w:ilvl w:val="0"/>
                <w:numId w:val="34"/>
              </w:numPr>
              <w:ind w:left="252" w:hanging="252"/>
              <w:rPr>
                <w:rFonts w:cstheme="minorHAnsi"/>
                <w:sz w:val="16"/>
                <w:szCs w:val="16"/>
              </w:rPr>
            </w:pPr>
            <w:r w:rsidRPr="005A43FF">
              <w:rPr>
                <w:rFonts w:cstheme="minorHAnsi"/>
                <w:sz w:val="16"/>
                <w:szCs w:val="16"/>
              </w:rPr>
              <w:t>Address participants’ personal stability as outlined in EcSA Application sections 4.a. and 4.d.</w:t>
            </w:r>
          </w:p>
          <w:p w:rsidR="00E04398" w:rsidRPr="005A43FF" w:rsidRDefault="00E04398" w:rsidP="00E04398">
            <w:pPr>
              <w:pStyle w:val="ListParagraph"/>
              <w:numPr>
                <w:ilvl w:val="0"/>
                <w:numId w:val="34"/>
              </w:numPr>
              <w:ind w:left="252" w:hanging="252"/>
              <w:rPr>
                <w:rFonts w:cstheme="minorHAnsi"/>
                <w:sz w:val="16"/>
                <w:szCs w:val="16"/>
              </w:rPr>
            </w:pPr>
            <w:r w:rsidRPr="005A43FF">
              <w:rPr>
                <w:rFonts w:cstheme="minorHAnsi"/>
                <w:sz w:val="16"/>
                <w:szCs w:val="16"/>
              </w:rPr>
              <w:t>Deliver CRED (Career Readiness, Education &amp; Development) job and occupational training readiness skills on site at the Salishan Association family Investment Center, based on times.</w:t>
            </w:r>
          </w:p>
          <w:p w:rsidR="00E04398" w:rsidRPr="005A43FF" w:rsidRDefault="00E04398" w:rsidP="00E04398">
            <w:pPr>
              <w:pStyle w:val="ListParagraph"/>
              <w:numPr>
                <w:ilvl w:val="0"/>
                <w:numId w:val="34"/>
              </w:numPr>
              <w:ind w:left="252" w:hanging="252"/>
              <w:rPr>
                <w:rFonts w:cstheme="minorHAnsi"/>
                <w:sz w:val="16"/>
                <w:szCs w:val="16"/>
              </w:rPr>
            </w:pPr>
            <w:r w:rsidRPr="005A43FF">
              <w:rPr>
                <w:rFonts w:cstheme="minorHAnsi"/>
                <w:sz w:val="16"/>
                <w:szCs w:val="16"/>
              </w:rPr>
              <w:t xml:space="preserve"> Dedicated United Way 2-1-1 Navigator will ensure seamless connectivity of pipeline referrals between EcSA integrated partner services and additional barrier reduction resources needed, this allows the participant to focus on the assistance needed to remain engaged and removes the task of understanding how to navigate our complex systems of service providers.</w:t>
            </w:r>
          </w:p>
        </w:tc>
        <w:tc>
          <w:tcPr>
            <w:tcW w:w="3240" w:type="dxa"/>
          </w:tcPr>
          <w:p w:rsidR="00E04398" w:rsidRPr="005A43FF" w:rsidRDefault="00E04398" w:rsidP="00E04398">
            <w:pPr>
              <w:pStyle w:val="ListParagraph"/>
              <w:numPr>
                <w:ilvl w:val="0"/>
                <w:numId w:val="35"/>
              </w:numPr>
              <w:ind w:left="252" w:hanging="90"/>
              <w:rPr>
                <w:rFonts w:cstheme="minorHAnsi"/>
                <w:sz w:val="16"/>
                <w:szCs w:val="16"/>
              </w:rPr>
            </w:pPr>
            <w:r w:rsidRPr="005A43FF">
              <w:rPr>
                <w:rFonts w:cstheme="minorHAnsi"/>
                <w:sz w:val="16"/>
                <w:szCs w:val="16"/>
              </w:rPr>
              <w:t>Participants enrolled in education or training opportunities (51)</w:t>
            </w:r>
          </w:p>
          <w:p w:rsidR="00E04398" w:rsidRPr="005A43FF" w:rsidRDefault="00E04398" w:rsidP="00E04398">
            <w:pPr>
              <w:pStyle w:val="ListParagraph"/>
              <w:numPr>
                <w:ilvl w:val="0"/>
                <w:numId w:val="35"/>
              </w:numPr>
              <w:ind w:left="252" w:hanging="90"/>
              <w:rPr>
                <w:rFonts w:cstheme="minorHAnsi"/>
                <w:sz w:val="16"/>
                <w:szCs w:val="16"/>
              </w:rPr>
            </w:pPr>
            <w:r w:rsidRPr="005A43FF">
              <w:rPr>
                <w:rFonts w:cstheme="minorHAnsi"/>
                <w:sz w:val="16"/>
                <w:szCs w:val="16"/>
              </w:rPr>
              <w:t>Participants placed in living wage (49)</w:t>
            </w:r>
          </w:p>
          <w:p w:rsidR="00E04398" w:rsidRPr="005A43FF" w:rsidRDefault="00E04398" w:rsidP="00E04398">
            <w:pPr>
              <w:pStyle w:val="ListParagraph"/>
              <w:numPr>
                <w:ilvl w:val="0"/>
                <w:numId w:val="35"/>
              </w:numPr>
              <w:ind w:left="252" w:hanging="90"/>
              <w:rPr>
                <w:rFonts w:cstheme="minorHAnsi"/>
                <w:sz w:val="16"/>
                <w:szCs w:val="16"/>
              </w:rPr>
            </w:pPr>
            <w:r w:rsidRPr="005A43FF">
              <w:rPr>
                <w:rFonts w:cstheme="minorHAnsi"/>
                <w:sz w:val="16"/>
                <w:szCs w:val="16"/>
              </w:rPr>
              <w:t>Employment placement obtained (132)</w:t>
            </w:r>
          </w:p>
          <w:p w:rsidR="00E04398" w:rsidRPr="005A43FF" w:rsidRDefault="00E04398" w:rsidP="00E04398">
            <w:pPr>
              <w:pStyle w:val="ListParagraph"/>
              <w:numPr>
                <w:ilvl w:val="0"/>
                <w:numId w:val="35"/>
              </w:numPr>
              <w:ind w:left="252" w:hanging="90"/>
              <w:rPr>
                <w:rFonts w:cstheme="minorHAnsi"/>
                <w:sz w:val="16"/>
                <w:szCs w:val="16"/>
              </w:rPr>
            </w:pPr>
            <w:r w:rsidRPr="005A43FF">
              <w:rPr>
                <w:rFonts w:cstheme="minorHAnsi"/>
                <w:sz w:val="16"/>
                <w:szCs w:val="16"/>
              </w:rPr>
              <w:t>Participants approved for SNAP, TANF and housing subsidies benefits (63)</w:t>
            </w:r>
          </w:p>
          <w:p w:rsidR="00E04398" w:rsidRPr="005A43FF" w:rsidRDefault="00E04398" w:rsidP="00E04398">
            <w:pPr>
              <w:pStyle w:val="ListParagraph"/>
              <w:numPr>
                <w:ilvl w:val="0"/>
                <w:numId w:val="35"/>
              </w:numPr>
              <w:ind w:left="252" w:hanging="90"/>
              <w:rPr>
                <w:rFonts w:cstheme="minorHAnsi"/>
                <w:sz w:val="16"/>
                <w:szCs w:val="16"/>
              </w:rPr>
            </w:pPr>
            <w:r w:rsidRPr="005A43FF">
              <w:rPr>
                <w:rFonts w:cstheme="minorHAnsi"/>
                <w:sz w:val="16"/>
                <w:szCs w:val="16"/>
              </w:rPr>
              <w:t>Individuals connected to Behavioral Health, Legal Assistance, Emergency Shelter and childcare services (1500)</w:t>
            </w:r>
          </w:p>
          <w:p w:rsidR="00E04398" w:rsidRPr="005A43FF" w:rsidRDefault="00E04398" w:rsidP="00E04398">
            <w:pPr>
              <w:pStyle w:val="ListParagraph"/>
              <w:numPr>
                <w:ilvl w:val="0"/>
                <w:numId w:val="35"/>
              </w:numPr>
              <w:ind w:left="252" w:hanging="90"/>
              <w:rPr>
                <w:rFonts w:cstheme="minorHAnsi"/>
                <w:sz w:val="16"/>
                <w:szCs w:val="16"/>
              </w:rPr>
            </w:pPr>
            <w:r w:rsidRPr="005A43FF">
              <w:rPr>
                <w:rFonts w:cstheme="minorHAnsi"/>
                <w:sz w:val="16"/>
                <w:szCs w:val="16"/>
              </w:rPr>
              <w:t>Participants attending 1 or more CRED workshops</w:t>
            </w:r>
          </w:p>
          <w:p w:rsidR="00E04398" w:rsidRPr="005A43FF" w:rsidRDefault="00E04398" w:rsidP="00E04398">
            <w:pPr>
              <w:pStyle w:val="ListParagraph"/>
              <w:numPr>
                <w:ilvl w:val="0"/>
                <w:numId w:val="35"/>
              </w:numPr>
              <w:ind w:left="252" w:hanging="90"/>
              <w:rPr>
                <w:rFonts w:cstheme="minorHAnsi"/>
                <w:sz w:val="16"/>
                <w:szCs w:val="16"/>
              </w:rPr>
            </w:pPr>
            <w:r w:rsidRPr="005A43FF">
              <w:rPr>
                <w:rFonts w:cstheme="minorHAnsi"/>
                <w:sz w:val="16"/>
                <w:szCs w:val="16"/>
              </w:rPr>
              <w:t>Participants completing CRED workshop series</w:t>
            </w:r>
          </w:p>
        </w:tc>
        <w:tc>
          <w:tcPr>
            <w:tcW w:w="2700" w:type="dxa"/>
            <w:shd w:val="clear" w:color="auto" w:fill="auto"/>
          </w:tcPr>
          <w:p w:rsidR="00E04398" w:rsidRDefault="00E04398" w:rsidP="00E04398">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E04398" w:rsidRPr="00CE77FE" w:rsidRDefault="00E04398" w:rsidP="00E04398">
            <w:pPr>
              <w:rPr>
                <w:rFonts w:cstheme="minorHAnsi"/>
                <w:b/>
                <w:sz w:val="10"/>
                <w:szCs w:val="10"/>
              </w:rPr>
            </w:pPr>
          </w:p>
          <w:p w:rsidR="00E04398" w:rsidRPr="00032274" w:rsidRDefault="00E04398" w:rsidP="00E04398">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E04398" w:rsidRPr="00032274" w:rsidRDefault="0031049E" w:rsidP="00E04398">
            <w:pPr>
              <w:ind w:left="72"/>
              <w:rPr>
                <w:rFonts w:eastAsia="Times New Roman" w:cstheme="minorHAnsi"/>
                <w:b/>
                <w:sz w:val="16"/>
                <w:szCs w:val="16"/>
              </w:rPr>
            </w:pPr>
            <w:sdt>
              <w:sdtPr>
                <w:rPr>
                  <w:rFonts w:eastAsia="Times New Roman" w:cstheme="minorHAnsi"/>
                  <w:b/>
                  <w:sz w:val="16"/>
                  <w:szCs w:val="16"/>
                </w:rPr>
                <w:id w:val="505483946"/>
                <w14:checkbox>
                  <w14:checked w14:val="0"/>
                  <w14:checkedState w14:val="2612" w14:font="MS Gothic"/>
                  <w14:uncheckedState w14:val="2610" w14:font="MS Gothic"/>
                </w14:checkbox>
              </w:sdtPr>
              <w:sdtEndPr/>
              <w:sdtContent>
                <w:r w:rsidR="00E04398" w:rsidRPr="00032274">
                  <w:rPr>
                    <w:rFonts w:ascii="Segoe UI Symbol" w:eastAsia="MS Gothic" w:hAnsi="Segoe UI Symbol" w:cs="Segoe UI Symbol"/>
                    <w:b/>
                    <w:sz w:val="16"/>
                    <w:szCs w:val="16"/>
                  </w:rPr>
                  <w:t>☐</w:t>
                </w:r>
              </w:sdtContent>
            </w:sdt>
            <w:r w:rsidR="00E04398" w:rsidRPr="00032274">
              <w:rPr>
                <w:rFonts w:eastAsia="Times New Roman" w:cstheme="minorHAnsi"/>
                <w:b/>
                <w:sz w:val="16"/>
                <w:szCs w:val="16"/>
              </w:rPr>
              <w:t xml:space="preserve"> YES, No Issues Identified</w:t>
            </w:r>
          </w:p>
          <w:p w:rsidR="00E04398" w:rsidRDefault="0031049E" w:rsidP="00E04398">
            <w:pPr>
              <w:ind w:left="72"/>
              <w:rPr>
                <w:rFonts w:eastAsia="Times New Roman" w:cstheme="minorHAnsi"/>
                <w:b/>
                <w:sz w:val="16"/>
                <w:szCs w:val="16"/>
              </w:rPr>
            </w:pPr>
            <w:sdt>
              <w:sdtPr>
                <w:rPr>
                  <w:rFonts w:eastAsia="Times New Roman" w:cstheme="minorHAnsi"/>
                  <w:b/>
                  <w:sz w:val="16"/>
                  <w:szCs w:val="16"/>
                </w:rPr>
                <w:id w:val="1427387567"/>
                <w14:checkbox>
                  <w14:checked w14:val="0"/>
                  <w14:checkedState w14:val="2612" w14:font="MS Gothic"/>
                  <w14:uncheckedState w14:val="2610" w14:font="MS Gothic"/>
                </w14:checkbox>
              </w:sdtPr>
              <w:sdtEndPr/>
              <w:sdtContent>
                <w:r w:rsidR="00E04398" w:rsidRPr="00032274">
                  <w:rPr>
                    <w:rFonts w:ascii="Segoe UI Symbol" w:eastAsia="Times New Roman" w:hAnsi="Segoe UI Symbol" w:cs="Segoe UI Symbol"/>
                    <w:b/>
                    <w:sz w:val="16"/>
                    <w:szCs w:val="16"/>
                  </w:rPr>
                  <w:t>☐</w:t>
                </w:r>
              </w:sdtContent>
            </w:sdt>
            <w:r w:rsidR="00E04398" w:rsidRPr="00032274">
              <w:rPr>
                <w:rFonts w:eastAsia="Times New Roman" w:cstheme="minorHAnsi"/>
                <w:b/>
                <w:sz w:val="16"/>
                <w:szCs w:val="16"/>
              </w:rPr>
              <w:t xml:space="preserve"> N</w:t>
            </w:r>
            <w:r w:rsidR="00E04398" w:rsidRPr="00032274">
              <w:rPr>
                <w:rFonts w:eastAsia="Times New Roman" w:cstheme="minorHAnsi"/>
                <w:b/>
                <w:caps/>
                <w:sz w:val="16"/>
                <w:szCs w:val="16"/>
              </w:rPr>
              <w:t>o</w:t>
            </w:r>
            <w:r w:rsidR="00E04398" w:rsidRPr="00032274">
              <w:rPr>
                <w:rFonts w:eastAsia="Times New Roman" w:cstheme="minorHAnsi"/>
                <w:b/>
                <w:sz w:val="16"/>
                <w:szCs w:val="16"/>
              </w:rPr>
              <w:t xml:space="preserve">, LWDB did not meet </w:t>
            </w:r>
          </w:p>
          <w:p w:rsidR="00E04398" w:rsidRDefault="00E04398" w:rsidP="00E04398">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E04398" w:rsidRPr="00032274" w:rsidRDefault="00E04398" w:rsidP="00E04398">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E04398" w:rsidRPr="00A410A7" w:rsidRDefault="00E04398" w:rsidP="00E04398">
            <w:pPr>
              <w:rPr>
                <w:rFonts w:cstheme="minorHAnsi"/>
                <w:b/>
                <w:sz w:val="16"/>
                <w:szCs w:val="16"/>
              </w:rPr>
            </w:pPr>
            <w:r w:rsidRPr="00A410A7">
              <w:rPr>
                <w:rFonts w:cstheme="minorHAnsi"/>
                <w:b/>
                <w:sz w:val="16"/>
                <w:szCs w:val="16"/>
              </w:rPr>
              <w:t xml:space="preserve"> </w:t>
            </w:r>
          </w:p>
          <w:p w:rsidR="00E04398" w:rsidRDefault="00E04398" w:rsidP="00E04398">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E04398" w:rsidRPr="00CE77FE" w:rsidRDefault="00E04398" w:rsidP="00E04398">
            <w:pPr>
              <w:shd w:val="clear" w:color="auto" w:fill="E2EFD9" w:themeFill="accent6" w:themeFillTint="33"/>
              <w:rPr>
                <w:rFonts w:cstheme="minorHAnsi"/>
                <w:b/>
                <w:sz w:val="10"/>
                <w:szCs w:val="10"/>
              </w:rPr>
            </w:pPr>
          </w:p>
          <w:p w:rsidR="00E04398" w:rsidRPr="00CE77FE" w:rsidRDefault="00E04398" w:rsidP="00E04398">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Element 4(</w:t>
            </w:r>
            <w:r>
              <w:rPr>
                <w:rFonts w:cstheme="minorHAnsi"/>
                <w:b/>
                <w:sz w:val="12"/>
                <w:szCs w:val="12"/>
              </w:rPr>
              <w:t>3</w:t>
            </w:r>
            <w:r w:rsidRPr="00CE77FE">
              <w:rPr>
                <w:rFonts w:cstheme="minorHAnsi"/>
                <w:b/>
                <w:sz w:val="16"/>
                <w:szCs w:val="16"/>
              </w:rPr>
              <w:t xml:space="preserve">) of EcSA file checklist, </w:t>
            </w:r>
            <w:r>
              <w:rPr>
                <w:rFonts w:cstheme="minorHAnsi"/>
                <w:b/>
                <w:sz w:val="16"/>
                <w:szCs w:val="16"/>
              </w:rPr>
              <w:t>“Personal Stability”</w:t>
            </w:r>
            <w:r w:rsidRPr="00CE77FE">
              <w:rPr>
                <w:rFonts w:cstheme="minorHAnsi"/>
                <w:b/>
                <w:sz w:val="16"/>
                <w:szCs w:val="16"/>
              </w:rPr>
              <w:t>:</w:t>
            </w:r>
          </w:p>
          <w:p w:rsidR="00E04398" w:rsidRPr="00A410A7" w:rsidRDefault="0031049E" w:rsidP="00E04398">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646084267"/>
                <w14:checkbox>
                  <w14:checked w14:val="0"/>
                  <w14:checkedState w14:val="2612" w14:font="MS Gothic"/>
                  <w14:uncheckedState w14:val="2610" w14:font="MS Gothic"/>
                </w14:checkbox>
              </w:sdtPr>
              <w:sdtEndPr/>
              <w:sdtContent>
                <w:r w:rsidR="00E04398" w:rsidRPr="00A410A7">
                  <w:rPr>
                    <w:rFonts w:ascii="Segoe UI Symbol" w:eastAsia="Times New Roman" w:hAnsi="Segoe UI Symbol" w:cs="Segoe UI Symbol"/>
                    <w:b/>
                    <w:sz w:val="16"/>
                    <w:szCs w:val="16"/>
                  </w:rPr>
                  <w:t>☐</w:t>
                </w:r>
              </w:sdtContent>
            </w:sdt>
            <w:r w:rsidR="00E04398" w:rsidRPr="00A410A7">
              <w:rPr>
                <w:rFonts w:eastAsia="Times New Roman" w:cstheme="minorHAnsi"/>
                <w:b/>
                <w:sz w:val="16"/>
                <w:szCs w:val="16"/>
              </w:rPr>
              <w:t xml:space="preserve"> YES, No Issues Identified</w:t>
            </w:r>
          </w:p>
          <w:p w:rsidR="00E04398" w:rsidRPr="00A410A7" w:rsidRDefault="0031049E" w:rsidP="00E04398">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769134024"/>
                <w14:checkbox>
                  <w14:checked w14:val="0"/>
                  <w14:checkedState w14:val="2612" w14:font="MS Gothic"/>
                  <w14:uncheckedState w14:val="2610" w14:font="MS Gothic"/>
                </w14:checkbox>
              </w:sdtPr>
              <w:sdtEndPr/>
              <w:sdtContent>
                <w:r w:rsidR="00E04398" w:rsidRPr="00A410A7">
                  <w:rPr>
                    <w:rFonts w:ascii="Segoe UI Symbol" w:eastAsia="Times New Roman" w:hAnsi="Segoe UI Symbol" w:cs="Segoe UI Symbol"/>
                    <w:b/>
                    <w:sz w:val="16"/>
                    <w:szCs w:val="16"/>
                  </w:rPr>
                  <w:t>☐</w:t>
                </w:r>
              </w:sdtContent>
            </w:sdt>
            <w:r w:rsidR="00E04398" w:rsidRPr="00A410A7">
              <w:rPr>
                <w:rFonts w:eastAsia="Times New Roman" w:cstheme="minorHAnsi"/>
                <w:b/>
                <w:sz w:val="16"/>
                <w:szCs w:val="16"/>
              </w:rPr>
              <w:t xml:space="preserve"> NO, one or more issues identified</w:t>
            </w:r>
          </w:p>
          <w:p w:rsidR="00E04398" w:rsidRDefault="00E04398" w:rsidP="00E04398">
            <w:pPr>
              <w:ind w:left="164"/>
              <w:rPr>
                <w:sz w:val="16"/>
                <w:szCs w:val="16"/>
              </w:rPr>
            </w:pPr>
          </w:p>
          <w:p w:rsidR="00E04398" w:rsidRPr="003F57E0" w:rsidRDefault="00E04398" w:rsidP="00E04398">
            <w:pPr>
              <w:ind w:left="164"/>
              <w:rPr>
                <w:sz w:val="16"/>
                <w:szCs w:val="16"/>
              </w:rPr>
            </w:pPr>
          </w:p>
        </w:tc>
        <w:tc>
          <w:tcPr>
            <w:tcW w:w="1980" w:type="dxa"/>
            <w:tcBorders>
              <w:top w:val="single" w:sz="4" w:space="0" w:color="auto"/>
              <w:bottom w:val="single" w:sz="4" w:space="0" w:color="auto"/>
            </w:tcBorders>
          </w:tcPr>
          <w:p w:rsidR="00E04398" w:rsidRPr="00DB4F96" w:rsidRDefault="00E04398" w:rsidP="00E04398">
            <w:pPr>
              <w:rPr>
                <w:rFonts w:eastAsia="Times New Roman" w:cstheme="minorHAnsi"/>
                <w:sz w:val="6"/>
                <w:szCs w:val="6"/>
              </w:rPr>
            </w:pPr>
          </w:p>
          <w:p w:rsidR="00E04398" w:rsidRPr="00DB4F96" w:rsidRDefault="00E04398" w:rsidP="00E04398">
            <w:pPr>
              <w:rPr>
                <w:rFonts w:eastAsia="Times New Roman" w:cstheme="minorHAnsi"/>
                <w:sz w:val="14"/>
                <w:szCs w:val="14"/>
              </w:rPr>
            </w:pPr>
          </w:p>
        </w:tc>
      </w:tr>
    </w:tbl>
    <w:p w:rsidR="005A43FF" w:rsidRDefault="005A43FF">
      <w:r>
        <w:br w:type="page"/>
      </w:r>
    </w:p>
    <w:tbl>
      <w:tblPr>
        <w:tblStyle w:val="TableGrid"/>
        <w:tblW w:w="14935" w:type="dxa"/>
        <w:tblLook w:val="04A0" w:firstRow="1" w:lastRow="0" w:firstColumn="1" w:lastColumn="0" w:noHBand="0" w:noVBand="1"/>
      </w:tblPr>
      <w:tblGrid>
        <w:gridCol w:w="2515"/>
        <w:gridCol w:w="1260"/>
        <w:gridCol w:w="3240"/>
        <w:gridCol w:w="3240"/>
        <w:gridCol w:w="2700"/>
        <w:gridCol w:w="1980"/>
      </w:tblGrid>
      <w:tr w:rsidR="005A43FF" w:rsidTr="00C50071">
        <w:tc>
          <w:tcPr>
            <w:tcW w:w="2515" w:type="dxa"/>
            <w:shd w:val="clear" w:color="auto" w:fill="auto"/>
          </w:tcPr>
          <w:p w:rsidR="005A43FF" w:rsidRPr="005A43FF" w:rsidRDefault="005A43FF" w:rsidP="005A43FF">
            <w:pPr>
              <w:rPr>
                <w:rFonts w:cstheme="minorHAnsi"/>
                <w:sz w:val="16"/>
                <w:szCs w:val="16"/>
              </w:rPr>
            </w:pPr>
            <w:r w:rsidRPr="005A43FF">
              <w:rPr>
                <w:rFonts w:cstheme="minorHAnsi"/>
                <w:b/>
                <w:sz w:val="16"/>
                <w:szCs w:val="16"/>
              </w:rPr>
              <w:lastRenderedPageBreak/>
              <w:t>Task 6:</w:t>
            </w:r>
            <w:r w:rsidRPr="005A43FF">
              <w:rPr>
                <w:rFonts w:cstheme="minorHAnsi"/>
                <w:sz w:val="16"/>
                <w:szCs w:val="16"/>
              </w:rPr>
              <w:t xml:space="preserve"> Financial Stability</w:t>
            </w:r>
          </w:p>
          <w:p w:rsidR="005A43FF" w:rsidRPr="005A43FF" w:rsidRDefault="005A43FF" w:rsidP="005A43FF">
            <w:pPr>
              <w:rPr>
                <w:rFonts w:cstheme="minorHAnsi"/>
                <w:sz w:val="16"/>
                <w:szCs w:val="16"/>
              </w:rPr>
            </w:pPr>
          </w:p>
          <w:p w:rsidR="005A43FF" w:rsidRPr="005A43FF" w:rsidRDefault="005A43FF" w:rsidP="005A43FF">
            <w:pPr>
              <w:rPr>
                <w:rFonts w:cstheme="minorHAnsi"/>
                <w:sz w:val="16"/>
                <w:szCs w:val="16"/>
              </w:rPr>
            </w:pPr>
            <w:r w:rsidRPr="005A43FF">
              <w:rPr>
                <w:rFonts w:cstheme="minorHAnsi"/>
                <w:sz w:val="16"/>
                <w:szCs w:val="16"/>
              </w:rPr>
              <w:t xml:space="preserve">Work with partners to help EcSA participants establish initial financial stability as a foundation for success. </w:t>
            </w:r>
          </w:p>
          <w:p w:rsidR="005A43FF" w:rsidRPr="005A43FF" w:rsidRDefault="005A43FF" w:rsidP="005A43FF">
            <w:pPr>
              <w:rPr>
                <w:rFonts w:cstheme="minorHAnsi"/>
                <w:b/>
                <w:caps/>
                <w:sz w:val="16"/>
                <w:szCs w:val="16"/>
              </w:rPr>
            </w:pPr>
          </w:p>
        </w:tc>
        <w:tc>
          <w:tcPr>
            <w:tcW w:w="1260" w:type="dxa"/>
          </w:tcPr>
          <w:p w:rsidR="005A43FF" w:rsidRPr="005A43FF" w:rsidRDefault="005A43FF" w:rsidP="005A43FF">
            <w:pPr>
              <w:rPr>
                <w:rFonts w:cstheme="minorHAnsi"/>
                <w:b/>
                <w:sz w:val="16"/>
                <w:szCs w:val="16"/>
              </w:rPr>
            </w:pPr>
            <w:r w:rsidRPr="005A43FF">
              <w:rPr>
                <w:rFonts w:cstheme="minorHAnsi"/>
                <w:b/>
                <w:sz w:val="16"/>
                <w:szCs w:val="16"/>
              </w:rPr>
              <w:t>Ongoing throughout the contract period of performance, with meaningful progress reported each quarter.</w:t>
            </w:r>
          </w:p>
        </w:tc>
        <w:tc>
          <w:tcPr>
            <w:tcW w:w="3240" w:type="dxa"/>
          </w:tcPr>
          <w:p w:rsidR="005A43FF" w:rsidRPr="005A43FF" w:rsidRDefault="005A43FF" w:rsidP="005A43FF">
            <w:pPr>
              <w:pStyle w:val="ListParagraph"/>
              <w:numPr>
                <w:ilvl w:val="0"/>
                <w:numId w:val="36"/>
              </w:numPr>
              <w:ind w:left="252" w:hanging="252"/>
              <w:rPr>
                <w:rFonts w:cstheme="minorHAnsi"/>
                <w:sz w:val="16"/>
                <w:szCs w:val="16"/>
              </w:rPr>
            </w:pPr>
            <w:r w:rsidRPr="005A43FF">
              <w:rPr>
                <w:rFonts w:cstheme="minorHAnsi"/>
                <w:sz w:val="16"/>
                <w:szCs w:val="16"/>
              </w:rPr>
              <w:t>Address participants’ financial stability as outlined in EcSA Application sections 4.e., providing intensive one-on-one financial support.</w:t>
            </w:r>
          </w:p>
          <w:p w:rsidR="005A43FF" w:rsidRPr="005A43FF" w:rsidRDefault="005A43FF" w:rsidP="005A43FF">
            <w:pPr>
              <w:pStyle w:val="ListParagraph"/>
              <w:numPr>
                <w:ilvl w:val="0"/>
                <w:numId w:val="36"/>
              </w:numPr>
              <w:ind w:left="252" w:hanging="252"/>
              <w:rPr>
                <w:rFonts w:cstheme="minorHAnsi"/>
                <w:sz w:val="16"/>
                <w:szCs w:val="16"/>
              </w:rPr>
            </w:pPr>
            <w:r w:rsidRPr="005A43FF">
              <w:rPr>
                <w:rFonts w:cstheme="minorHAnsi"/>
                <w:sz w:val="16"/>
                <w:szCs w:val="16"/>
              </w:rPr>
              <w:t xml:space="preserve"> Offer basic financial education and training to all participants.</w:t>
            </w:r>
          </w:p>
          <w:p w:rsidR="005A43FF" w:rsidRPr="005A43FF" w:rsidRDefault="005A43FF" w:rsidP="005A43FF">
            <w:pPr>
              <w:pStyle w:val="ListParagraph"/>
              <w:numPr>
                <w:ilvl w:val="0"/>
                <w:numId w:val="36"/>
              </w:numPr>
              <w:ind w:left="252" w:hanging="252"/>
              <w:rPr>
                <w:rFonts w:cstheme="minorHAnsi"/>
                <w:sz w:val="16"/>
                <w:szCs w:val="16"/>
              </w:rPr>
            </w:pPr>
            <w:r w:rsidRPr="005A43FF">
              <w:rPr>
                <w:rFonts w:cstheme="minorHAnsi"/>
                <w:sz w:val="16"/>
                <w:szCs w:val="16"/>
              </w:rPr>
              <w:t>Utilize Washington Connection and other resources, to ensure that every participant makes informed choices about the full range of benefits for which they may be eligible.</w:t>
            </w:r>
          </w:p>
          <w:p w:rsidR="005A43FF" w:rsidRPr="005A43FF" w:rsidRDefault="005A43FF" w:rsidP="005A43FF">
            <w:pPr>
              <w:pStyle w:val="ListParagraph"/>
              <w:numPr>
                <w:ilvl w:val="0"/>
                <w:numId w:val="36"/>
              </w:numPr>
              <w:ind w:left="252" w:hanging="252"/>
              <w:rPr>
                <w:rFonts w:cstheme="minorHAnsi"/>
                <w:sz w:val="16"/>
                <w:szCs w:val="16"/>
              </w:rPr>
            </w:pPr>
            <w:r w:rsidRPr="005A43FF">
              <w:rPr>
                <w:rFonts w:cstheme="minorHAnsi"/>
                <w:sz w:val="16"/>
                <w:szCs w:val="16"/>
              </w:rPr>
              <w:t>The EcSA dedicated 2-1-1 Navigator will drive referrals to the Center for Strong Families financial counselors and allow the referring agency to confirm that EcSA participants have been connected and engaged with the services to gain financial management and income supports needed in the efforts to increase financial security for EcSA program enrollees.</w:t>
            </w:r>
          </w:p>
          <w:p w:rsidR="005A43FF" w:rsidRPr="005A43FF" w:rsidRDefault="005A43FF" w:rsidP="005A43FF">
            <w:pPr>
              <w:pStyle w:val="ListParagraph"/>
              <w:numPr>
                <w:ilvl w:val="0"/>
                <w:numId w:val="36"/>
              </w:numPr>
              <w:ind w:left="252" w:hanging="252"/>
              <w:rPr>
                <w:rFonts w:cstheme="minorHAnsi"/>
                <w:sz w:val="16"/>
                <w:szCs w:val="16"/>
              </w:rPr>
            </w:pPr>
            <w:r w:rsidRPr="005A43FF">
              <w:rPr>
                <w:rFonts w:cstheme="minorHAnsi"/>
                <w:sz w:val="16"/>
                <w:szCs w:val="16"/>
              </w:rPr>
              <w:t>Establish escrow accounts for participants, who will receive money when they complete their Individual Training and Services Plans and fulfill their Contracts of Participation.</w:t>
            </w:r>
          </w:p>
        </w:tc>
        <w:tc>
          <w:tcPr>
            <w:tcW w:w="3240" w:type="dxa"/>
          </w:tcPr>
          <w:p w:rsidR="005A43FF" w:rsidRDefault="005A43FF" w:rsidP="005A43FF">
            <w:pPr>
              <w:pStyle w:val="ListParagraph"/>
              <w:numPr>
                <w:ilvl w:val="0"/>
                <w:numId w:val="37"/>
              </w:numPr>
              <w:ind w:left="252" w:hanging="90"/>
              <w:rPr>
                <w:rFonts w:cstheme="minorHAnsi"/>
                <w:sz w:val="16"/>
                <w:szCs w:val="16"/>
              </w:rPr>
            </w:pPr>
            <w:r w:rsidRPr="005A43FF">
              <w:rPr>
                <w:rFonts w:cstheme="minorHAnsi"/>
                <w:sz w:val="16"/>
                <w:szCs w:val="16"/>
              </w:rPr>
              <w:t>Participants</w:t>
            </w:r>
            <w:r>
              <w:rPr>
                <w:rFonts w:cstheme="minorHAnsi"/>
                <w:sz w:val="16"/>
                <w:szCs w:val="16"/>
              </w:rPr>
              <w:t xml:space="preserve"> achieve established financial goal (40)</w:t>
            </w:r>
          </w:p>
          <w:p w:rsidR="005A43FF" w:rsidRDefault="005A43FF" w:rsidP="005A43FF">
            <w:pPr>
              <w:pStyle w:val="ListParagraph"/>
              <w:numPr>
                <w:ilvl w:val="0"/>
                <w:numId w:val="37"/>
              </w:numPr>
              <w:ind w:left="252" w:hanging="90"/>
              <w:rPr>
                <w:rFonts w:cstheme="minorHAnsi"/>
                <w:sz w:val="16"/>
                <w:szCs w:val="16"/>
              </w:rPr>
            </w:pPr>
            <w:r>
              <w:rPr>
                <w:rFonts w:cstheme="minorHAnsi"/>
                <w:sz w:val="16"/>
                <w:szCs w:val="16"/>
              </w:rPr>
              <w:t>Participants increase FICO score (26)</w:t>
            </w:r>
          </w:p>
          <w:p w:rsidR="005A43FF" w:rsidRDefault="005A43FF" w:rsidP="005A43FF">
            <w:pPr>
              <w:pStyle w:val="ListParagraph"/>
              <w:numPr>
                <w:ilvl w:val="0"/>
                <w:numId w:val="37"/>
              </w:numPr>
              <w:ind w:left="252" w:hanging="90"/>
              <w:rPr>
                <w:rFonts w:cstheme="minorHAnsi"/>
                <w:sz w:val="16"/>
                <w:szCs w:val="16"/>
              </w:rPr>
            </w:pPr>
            <w:r>
              <w:rPr>
                <w:rFonts w:cstheme="minorHAnsi"/>
                <w:sz w:val="16"/>
                <w:szCs w:val="16"/>
              </w:rPr>
              <w:t>Participants decrease debt (22)</w:t>
            </w:r>
          </w:p>
          <w:p w:rsidR="005A43FF" w:rsidRDefault="005A43FF" w:rsidP="005A43FF">
            <w:pPr>
              <w:pStyle w:val="ListParagraph"/>
              <w:numPr>
                <w:ilvl w:val="0"/>
                <w:numId w:val="37"/>
              </w:numPr>
              <w:ind w:left="252" w:hanging="90"/>
              <w:rPr>
                <w:rFonts w:cstheme="minorHAnsi"/>
                <w:sz w:val="16"/>
                <w:szCs w:val="16"/>
              </w:rPr>
            </w:pPr>
            <w:r>
              <w:rPr>
                <w:rFonts w:cstheme="minorHAnsi"/>
                <w:sz w:val="16"/>
                <w:szCs w:val="16"/>
              </w:rPr>
              <w:t>Participants increase assets (22)</w:t>
            </w:r>
          </w:p>
          <w:p w:rsidR="005A43FF" w:rsidRDefault="005A43FF" w:rsidP="005A43FF">
            <w:pPr>
              <w:pStyle w:val="ListParagraph"/>
              <w:numPr>
                <w:ilvl w:val="0"/>
                <w:numId w:val="37"/>
              </w:numPr>
              <w:ind w:left="252" w:hanging="90"/>
              <w:rPr>
                <w:rFonts w:cstheme="minorHAnsi"/>
                <w:sz w:val="16"/>
                <w:szCs w:val="16"/>
              </w:rPr>
            </w:pPr>
            <w:r>
              <w:rPr>
                <w:rFonts w:cstheme="minorHAnsi"/>
                <w:sz w:val="16"/>
                <w:szCs w:val="16"/>
              </w:rPr>
              <w:t>Number of participants that use Washington connection to apply for and successfully receive additional benefits that they weren’t already receiving.</w:t>
            </w:r>
          </w:p>
          <w:p w:rsidR="005A43FF" w:rsidRPr="005A43FF" w:rsidRDefault="005A43FF" w:rsidP="005A43FF">
            <w:pPr>
              <w:pStyle w:val="ListParagraph"/>
              <w:numPr>
                <w:ilvl w:val="0"/>
                <w:numId w:val="37"/>
              </w:numPr>
              <w:ind w:left="252" w:hanging="90"/>
              <w:rPr>
                <w:rFonts w:cstheme="minorHAnsi"/>
                <w:sz w:val="16"/>
                <w:szCs w:val="16"/>
              </w:rPr>
            </w:pPr>
            <w:r>
              <w:rPr>
                <w:rFonts w:cstheme="minorHAnsi"/>
                <w:sz w:val="16"/>
                <w:szCs w:val="16"/>
              </w:rPr>
              <w:t>Escrow accounts established.</w:t>
            </w:r>
          </w:p>
        </w:tc>
        <w:tc>
          <w:tcPr>
            <w:tcW w:w="2700" w:type="dxa"/>
            <w:shd w:val="clear" w:color="auto" w:fill="auto"/>
          </w:tcPr>
          <w:p w:rsidR="005A43FF" w:rsidRDefault="005A43FF" w:rsidP="005A43FF">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5A43FF" w:rsidRPr="00CE77FE" w:rsidRDefault="005A43FF" w:rsidP="005A43FF">
            <w:pPr>
              <w:rPr>
                <w:rFonts w:cstheme="minorHAnsi"/>
                <w:b/>
                <w:sz w:val="10"/>
                <w:szCs w:val="10"/>
              </w:rPr>
            </w:pPr>
          </w:p>
          <w:p w:rsidR="005A43FF" w:rsidRPr="00032274" w:rsidRDefault="005A43FF" w:rsidP="005A43FF">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5A43FF" w:rsidRPr="00032274" w:rsidRDefault="0031049E" w:rsidP="005A43FF">
            <w:pPr>
              <w:ind w:left="72"/>
              <w:rPr>
                <w:rFonts w:eastAsia="Times New Roman" w:cstheme="minorHAnsi"/>
                <w:b/>
                <w:sz w:val="16"/>
                <w:szCs w:val="16"/>
              </w:rPr>
            </w:pPr>
            <w:sdt>
              <w:sdtPr>
                <w:rPr>
                  <w:rFonts w:eastAsia="Times New Roman" w:cstheme="minorHAnsi"/>
                  <w:b/>
                  <w:sz w:val="16"/>
                  <w:szCs w:val="16"/>
                </w:rPr>
                <w:id w:val="-182514587"/>
                <w14:checkbox>
                  <w14:checked w14:val="0"/>
                  <w14:checkedState w14:val="2612" w14:font="MS Gothic"/>
                  <w14:uncheckedState w14:val="2610" w14:font="MS Gothic"/>
                </w14:checkbox>
              </w:sdtPr>
              <w:sdtEndPr/>
              <w:sdtContent>
                <w:r w:rsidR="005A43FF" w:rsidRPr="00032274">
                  <w:rPr>
                    <w:rFonts w:ascii="Segoe UI Symbol" w:eastAsia="MS Gothic" w:hAnsi="Segoe UI Symbol" w:cs="Segoe UI Symbol"/>
                    <w:b/>
                    <w:sz w:val="16"/>
                    <w:szCs w:val="16"/>
                  </w:rPr>
                  <w:t>☐</w:t>
                </w:r>
              </w:sdtContent>
            </w:sdt>
            <w:r w:rsidR="005A43FF" w:rsidRPr="00032274">
              <w:rPr>
                <w:rFonts w:eastAsia="Times New Roman" w:cstheme="minorHAnsi"/>
                <w:b/>
                <w:sz w:val="16"/>
                <w:szCs w:val="16"/>
              </w:rPr>
              <w:t xml:space="preserve"> YES, No Issues Identified</w:t>
            </w:r>
          </w:p>
          <w:p w:rsidR="005A43FF" w:rsidRDefault="0031049E" w:rsidP="005A43FF">
            <w:pPr>
              <w:ind w:left="72"/>
              <w:rPr>
                <w:rFonts w:eastAsia="Times New Roman" w:cstheme="minorHAnsi"/>
                <w:b/>
                <w:sz w:val="16"/>
                <w:szCs w:val="16"/>
              </w:rPr>
            </w:pPr>
            <w:sdt>
              <w:sdtPr>
                <w:rPr>
                  <w:rFonts w:eastAsia="Times New Roman" w:cstheme="minorHAnsi"/>
                  <w:b/>
                  <w:sz w:val="16"/>
                  <w:szCs w:val="16"/>
                </w:rPr>
                <w:id w:val="-1113123500"/>
                <w14:checkbox>
                  <w14:checked w14:val="0"/>
                  <w14:checkedState w14:val="2612" w14:font="MS Gothic"/>
                  <w14:uncheckedState w14:val="2610" w14:font="MS Gothic"/>
                </w14:checkbox>
              </w:sdtPr>
              <w:sdtEndPr/>
              <w:sdtContent>
                <w:r w:rsidR="005A43FF" w:rsidRPr="00032274">
                  <w:rPr>
                    <w:rFonts w:ascii="Segoe UI Symbol" w:eastAsia="Times New Roman" w:hAnsi="Segoe UI Symbol" w:cs="Segoe UI Symbol"/>
                    <w:b/>
                    <w:sz w:val="16"/>
                    <w:szCs w:val="16"/>
                  </w:rPr>
                  <w:t>☐</w:t>
                </w:r>
              </w:sdtContent>
            </w:sdt>
            <w:r w:rsidR="005A43FF" w:rsidRPr="00032274">
              <w:rPr>
                <w:rFonts w:eastAsia="Times New Roman" w:cstheme="minorHAnsi"/>
                <w:b/>
                <w:sz w:val="16"/>
                <w:szCs w:val="16"/>
              </w:rPr>
              <w:t xml:space="preserve"> N</w:t>
            </w:r>
            <w:r w:rsidR="005A43FF" w:rsidRPr="00032274">
              <w:rPr>
                <w:rFonts w:eastAsia="Times New Roman" w:cstheme="minorHAnsi"/>
                <w:b/>
                <w:caps/>
                <w:sz w:val="16"/>
                <w:szCs w:val="16"/>
              </w:rPr>
              <w:t>o</w:t>
            </w:r>
            <w:r w:rsidR="005A43FF" w:rsidRPr="00032274">
              <w:rPr>
                <w:rFonts w:eastAsia="Times New Roman" w:cstheme="minorHAnsi"/>
                <w:b/>
                <w:sz w:val="16"/>
                <w:szCs w:val="16"/>
              </w:rPr>
              <w:t xml:space="preserve">, LWDB did not meet </w:t>
            </w:r>
          </w:p>
          <w:p w:rsidR="005A43FF" w:rsidRDefault="005A43FF" w:rsidP="005A43FF">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5A43FF" w:rsidRPr="00032274" w:rsidRDefault="005A43FF" w:rsidP="005A43FF">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5A43FF" w:rsidRPr="00A410A7" w:rsidRDefault="005A43FF" w:rsidP="005A43FF">
            <w:pPr>
              <w:rPr>
                <w:rFonts w:cstheme="minorHAnsi"/>
                <w:b/>
                <w:sz w:val="16"/>
                <w:szCs w:val="16"/>
              </w:rPr>
            </w:pPr>
            <w:r w:rsidRPr="00A410A7">
              <w:rPr>
                <w:rFonts w:cstheme="minorHAnsi"/>
                <w:b/>
                <w:sz w:val="16"/>
                <w:szCs w:val="16"/>
              </w:rPr>
              <w:t xml:space="preserve"> </w:t>
            </w:r>
          </w:p>
          <w:p w:rsidR="005A43FF" w:rsidRDefault="005A43FF" w:rsidP="005A43FF">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5A43FF" w:rsidRPr="00CE77FE" w:rsidRDefault="005A43FF" w:rsidP="005A43FF">
            <w:pPr>
              <w:shd w:val="clear" w:color="auto" w:fill="E2EFD9" w:themeFill="accent6" w:themeFillTint="33"/>
              <w:rPr>
                <w:rFonts w:cstheme="minorHAnsi"/>
                <w:b/>
                <w:sz w:val="10"/>
                <w:szCs w:val="10"/>
              </w:rPr>
            </w:pPr>
          </w:p>
          <w:p w:rsidR="005A43FF" w:rsidRPr="00CE77FE" w:rsidRDefault="005A43FF" w:rsidP="005A43FF">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Element 4(</w:t>
            </w:r>
            <w:r>
              <w:rPr>
                <w:rFonts w:cstheme="minorHAnsi"/>
                <w:b/>
                <w:sz w:val="12"/>
                <w:szCs w:val="12"/>
              </w:rPr>
              <w:t>4</w:t>
            </w:r>
            <w:r w:rsidRPr="00CE77FE">
              <w:rPr>
                <w:rFonts w:cstheme="minorHAnsi"/>
                <w:b/>
                <w:sz w:val="16"/>
                <w:szCs w:val="16"/>
              </w:rPr>
              <w:t xml:space="preserve">) of EcSA file checklist, </w:t>
            </w:r>
            <w:r>
              <w:rPr>
                <w:rFonts w:cstheme="minorHAnsi"/>
                <w:b/>
                <w:sz w:val="16"/>
                <w:szCs w:val="16"/>
              </w:rPr>
              <w:t>“Financial Stability”</w:t>
            </w:r>
            <w:r w:rsidRPr="00CE77FE">
              <w:rPr>
                <w:rFonts w:cstheme="minorHAnsi"/>
                <w:b/>
                <w:sz w:val="16"/>
                <w:szCs w:val="16"/>
              </w:rPr>
              <w:t>:</w:t>
            </w:r>
          </w:p>
          <w:p w:rsidR="005A43FF" w:rsidRPr="00A410A7" w:rsidRDefault="0031049E" w:rsidP="005A43FF">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2115667412"/>
                <w14:checkbox>
                  <w14:checked w14:val="0"/>
                  <w14:checkedState w14:val="2612" w14:font="MS Gothic"/>
                  <w14:uncheckedState w14:val="2610" w14:font="MS Gothic"/>
                </w14:checkbox>
              </w:sdtPr>
              <w:sdtEndPr/>
              <w:sdtContent>
                <w:r w:rsidR="005A43FF" w:rsidRPr="00A410A7">
                  <w:rPr>
                    <w:rFonts w:ascii="Segoe UI Symbol" w:eastAsia="Times New Roman" w:hAnsi="Segoe UI Symbol" w:cs="Segoe UI Symbol"/>
                    <w:b/>
                    <w:sz w:val="16"/>
                    <w:szCs w:val="16"/>
                  </w:rPr>
                  <w:t>☐</w:t>
                </w:r>
              </w:sdtContent>
            </w:sdt>
            <w:r w:rsidR="005A43FF" w:rsidRPr="00A410A7">
              <w:rPr>
                <w:rFonts w:eastAsia="Times New Roman" w:cstheme="minorHAnsi"/>
                <w:b/>
                <w:sz w:val="16"/>
                <w:szCs w:val="16"/>
              </w:rPr>
              <w:t xml:space="preserve"> YES, No Issues Identified</w:t>
            </w:r>
          </w:p>
          <w:p w:rsidR="005A43FF" w:rsidRPr="003F57E0" w:rsidRDefault="0031049E" w:rsidP="005A43FF">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1245996712"/>
                <w14:checkbox>
                  <w14:checked w14:val="0"/>
                  <w14:checkedState w14:val="2612" w14:font="MS Gothic"/>
                  <w14:uncheckedState w14:val="2610" w14:font="MS Gothic"/>
                </w14:checkbox>
              </w:sdtPr>
              <w:sdtEndPr/>
              <w:sdtContent>
                <w:r w:rsidR="005A43FF" w:rsidRPr="00A410A7">
                  <w:rPr>
                    <w:rFonts w:ascii="Segoe UI Symbol" w:eastAsia="Times New Roman" w:hAnsi="Segoe UI Symbol" w:cs="Segoe UI Symbol"/>
                    <w:b/>
                    <w:sz w:val="16"/>
                    <w:szCs w:val="16"/>
                  </w:rPr>
                  <w:t>☐</w:t>
                </w:r>
              </w:sdtContent>
            </w:sdt>
            <w:r w:rsidR="005A43FF" w:rsidRPr="00A410A7">
              <w:rPr>
                <w:rFonts w:eastAsia="Times New Roman" w:cstheme="minorHAnsi"/>
                <w:b/>
                <w:sz w:val="16"/>
                <w:szCs w:val="16"/>
              </w:rPr>
              <w:t xml:space="preserve"> NO, one or more issues identified</w:t>
            </w:r>
          </w:p>
        </w:tc>
        <w:tc>
          <w:tcPr>
            <w:tcW w:w="1980" w:type="dxa"/>
            <w:tcBorders>
              <w:top w:val="single" w:sz="4" w:space="0" w:color="auto"/>
              <w:bottom w:val="single" w:sz="4" w:space="0" w:color="auto"/>
            </w:tcBorders>
          </w:tcPr>
          <w:p w:rsidR="005A43FF" w:rsidRPr="00DB4F96" w:rsidRDefault="005A43FF" w:rsidP="005A43FF">
            <w:pPr>
              <w:rPr>
                <w:rFonts w:eastAsia="Times New Roman" w:cstheme="minorHAnsi"/>
                <w:sz w:val="6"/>
                <w:szCs w:val="6"/>
              </w:rPr>
            </w:pPr>
          </w:p>
        </w:tc>
      </w:tr>
    </w:tbl>
    <w:p w:rsidR="005A43FF" w:rsidRDefault="005A43FF">
      <w:r>
        <w:br w:type="page"/>
      </w:r>
    </w:p>
    <w:tbl>
      <w:tblPr>
        <w:tblStyle w:val="TableGrid"/>
        <w:tblW w:w="14935" w:type="dxa"/>
        <w:tblLook w:val="04A0" w:firstRow="1" w:lastRow="0" w:firstColumn="1" w:lastColumn="0" w:noHBand="0" w:noVBand="1"/>
      </w:tblPr>
      <w:tblGrid>
        <w:gridCol w:w="2515"/>
        <w:gridCol w:w="1260"/>
        <w:gridCol w:w="3240"/>
        <w:gridCol w:w="3240"/>
        <w:gridCol w:w="2700"/>
        <w:gridCol w:w="1980"/>
      </w:tblGrid>
      <w:tr w:rsidR="005A43FF" w:rsidTr="00C50071">
        <w:tc>
          <w:tcPr>
            <w:tcW w:w="2515" w:type="dxa"/>
            <w:shd w:val="clear" w:color="auto" w:fill="auto"/>
          </w:tcPr>
          <w:p w:rsidR="005A43FF" w:rsidRDefault="005A43FF" w:rsidP="005A43FF">
            <w:pPr>
              <w:rPr>
                <w:rFonts w:cstheme="minorHAnsi"/>
                <w:sz w:val="16"/>
                <w:szCs w:val="16"/>
              </w:rPr>
            </w:pPr>
            <w:r>
              <w:rPr>
                <w:rFonts w:cstheme="minorHAnsi"/>
                <w:b/>
                <w:sz w:val="16"/>
                <w:szCs w:val="16"/>
              </w:rPr>
              <w:lastRenderedPageBreak/>
              <w:t>Task 7</w:t>
            </w:r>
            <w:r w:rsidRPr="00D814D6">
              <w:rPr>
                <w:rFonts w:cstheme="minorHAnsi"/>
                <w:b/>
                <w:sz w:val="16"/>
                <w:szCs w:val="16"/>
              </w:rPr>
              <w:t>:</w:t>
            </w:r>
            <w:r w:rsidRPr="00D814D6">
              <w:rPr>
                <w:rFonts w:cstheme="minorHAnsi"/>
                <w:sz w:val="16"/>
                <w:szCs w:val="16"/>
              </w:rPr>
              <w:t xml:space="preserve"> </w:t>
            </w:r>
            <w:r>
              <w:rPr>
                <w:rFonts w:cstheme="minorHAnsi"/>
                <w:sz w:val="16"/>
                <w:szCs w:val="16"/>
              </w:rPr>
              <w:t>EcSA community of practice and initiative evaluation</w:t>
            </w:r>
          </w:p>
          <w:p w:rsidR="005A43FF" w:rsidRDefault="005A43FF" w:rsidP="005A43FF">
            <w:pPr>
              <w:rPr>
                <w:rFonts w:cstheme="minorHAnsi"/>
                <w:sz w:val="16"/>
                <w:szCs w:val="16"/>
              </w:rPr>
            </w:pPr>
          </w:p>
          <w:p w:rsidR="005A43FF" w:rsidRPr="00611E03" w:rsidRDefault="005A43FF" w:rsidP="005A43FF">
            <w:pPr>
              <w:rPr>
                <w:rFonts w:cstheme="minorHAnsi"/>
                <w:sz w:val="16"/>
                <w:szCs w:val="16"/>
                <w:highlight w:val="yellow"/>
              </w:rPr>
            </w:pPr>
            <w:r>
              <w:rPr>
                <w:rFonts w:cstheme="minorHAnsi"/>
                <w:sz w:val="16"/>
                <w:szCs w:val="16"/>
              </w:rPr>
              <w:t xml:space="preserve">Promote EcSA success and contribute to statewide learning from the EcSA initiative. </w:t>
            </w:r>
            <w:r w:rsidRPr="00611E03">
              <w:rPr>
                <w:rFonts w:cstheme="minorHAnsi"/>
                <w:sz w:val="16"/>
                <w:szCs w:val="16"/>
                <w:highlight w:val="yellow"/>
              </w:rPr>
              <w:t xml:space="preserve"> </w:t>
            </w:r>
          </w:p>
          <w:p w:rsidR="005A43FF" w:rsidRPr="001010FC" w:rsidRDefault="005A43FF" w:rsidP="005A43FF">
            <w:pPr>
              <w:rPr>
                <w:rFonts w:cstheme="minorHAnsi"/>
                <w:b/>
                <w:caps/>
                <w:sz w:val="16"/>
                <w:szCs w:val="16"/>
              </w:rPr>
            </w:pPr>
          </w:p>
        </w:tc>
        <w:tc>
          <w:tcPr>
            <w:tcW w:w="1260" w:type="dxa"/>
          </w:tcPr>
          <w:p w:rsidR="005A43FF" w:rsidRPr="00D814D6" w:rsidRDefault="005A43FF" w:rsidP="005A43FF">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5A43FF" w:rsidRDefault="005A43FF" w:rsidP="005A43FF">
            <w:pPr>
              <w:pStyle w:val="ListParagraph"/>
              <w:numPr>
                <w:ilvl w:val="0"/>
                <w:numId w:val="5"/>
              </w:numPr>
              <w:ind w:left="252" w:hanging="270"/>
              <w:rPr>
                <w:rFonts w:cstheme="minorHAnsi"/>
                <w:sz w:val="16"/>
                <w:szCs w:val="16"/>
              </w:rPr>
            </w:pPr>
            <w:r>
              <w:rPr>
                <w:rFonts w:cstheme="minorHAnsi"/>
                <w:sz w:val="16"/>
                <w:szCs w:val="16"/>
              </w:rPr>
              <w:t>Contribute to the statewide Economic Security for All efforts to decrease the number of WA families living below 200% of Federal Poverty Level (FPL);</w:t>
            </w:r>
          </w:p>
          <w:p w:rsidR="005A43FF" w:rsidRDefault="005A43FF" w:rsidP="005A43FF">
            <w:pPr>
              <w:pStyle w:val="ListParagraph"/>
              <w:numPr>
                <w:ilvl w:val="0"/>
                <w:numId w:val="5"/>
              </w:numPr>
              <w:ind w:left="252" w:hanging="270"/>
              <w:rPr>
                <w:rFonts w:cstheme="minorHAnsi"/>
                <w:sz w:val="16"/>
                <w:szCs w:val="16"/>
              </w:rPr>
            </w:pPr>
            <w:r>
              <w:rPr>
                <w:rFonts w:cstheme="minorHAnsi"/>
                <w:sz w:val="16"/>
                <w:szCs w:val="16"/>
              </w:rPr>
              <w:t>Participate in remote and in-person quarterly meetings to share and discuss successes, challenges, and lessons learned with other EcSA programs;</w:t>
            </w:r>
          </w:p>
          <w:p w:rsidR="005A43FF" w:rsidRDefault="005A43FF" w:rsidP="005A43FF">
            <w:pPr>
              <w:pStyle w:val="ListParagraph"/>
              <w:numPr>
                <w:ilvl w:val="0"/>
                <w:numId w:val="5"/>
              </w:numPr>
              <w:ind w:left="252" w:hanging="270"/>
              <w:rPr>
                <w:rFonts w:cstheme="minorHAnsi"/>
                <w:sz w:val="16"/>
                <w:szCs w:val="16"/>
              </w:rPr>
            </w:pPr>
            <w:r>
              <w:rPr>
                <w:rFonts w:cstheme="minorHAnsi"/>
                <w:sz w:val="16"/>
                <w:szCs w:val="16"/>
              </w:rPr>
              <w:t xml:space="preserve">Host events to raise awareness of EcSA efforts in the local community to build support for expansion and replication of EcSA successes; participate in statewide efforts to support EcSA expansion and replication. </w:t>
            </w:r>
          </w:p>
          <w:p w:rsidR="005A43FF" w:rsidRDefault="005A43FF" w:rsidP="005A43FF">
            <w:pPr>
              <w:pStyle w:val="ListParagraph"/>
              <w:numPr>
                <w:ilvl w:val="0"/>
                <w:numId w:val="5"/>
              </w:numPr>
              <w:ind w:left="252" w:hanging="270"/>
              <w:rPr>
                <w:rFonts w:cstheme="minorHAnsi"/>
                <w:sz w:val="16"/>
                <w:szCs w:val="16"/>
              </w:rPr>
            </w:pPr>
            <w:r>
              <w:rPr>
                <w:rFonts w:cstheme="minorHAnsi"/>
                <w:sz w:val="16"/>
                <w:szCs w:val="16"/>
              </w:rPr>
              <w:t xml:space="preserve">Actively partner with the third-party evaluator selected to evaluate EcSA programs to ensure accurate evaluation of your EcSA model. </w:t>
            </w:r>
          </w:p>
          <w:p w:rsidR="005A43FF" w:rsidRPr="002F6D5C" w:rsidRDefault="005A43FF" w:rsidP="005A43FF">
            <w:pPr>
              <w:pStyle w:val="ListParagraph"/>
              <w:ind w:left="252"/>
              <w:rPr>
                <w:rFonts w:cstheme="minorHAnsi"/>
                <w:sz w:val="16"/>
                <w:szCs w:val="16"/>
              </w:rPr>
            </w:pPr>
          </w:p>
        </w:tc>
        <w:tc>
          <w:tcPr>
            <w:tcW w:w="3240" w:type="dxa"/>
          </w:tcPr>
          <w:p w:rsidR="005A43FF" w:rsidRPr="00933E5A" w:rsidRDefault="005A43FF" w:rsidP="005A43FF">
            <w:pPr>
              <w:pStyle w:val="ListParagraph"/>
              <w:numPr>
                <w:ilvl w:val="0"/>
                <w:numId w:val="5"/>
              </w:numPr>
              <w:ind w:left="252" w:hanging="270"/>
              <w:rPr>
                <w:rFonts w:cstheme="minorHAnsi"/>
                <w:sz w:val="16"/>
                <w:szCs w:val="16"/>
              </w:rPr>
            </w:pPr>
            <w:r>
              <w:rPr>
                <w:rFonts w:cstheme="minorHAnsi"/>
                <w:sz w:val="16"/>
                <w:szCs w:val="16"/>
              </w:rPr>
              <w:t xml:space="preserve">Progress and activities must be provided to ESD in Quarterly Narrative Reports as outlined in section 2 below. </w:t>
            </w:r>
          </w:p>
        </w:tc>
        <w:tc>
          <w:tcPr>
            <w:tcW w:w="2700" w:type="dxa"/>
            <w:shd w:val="clear" w:color="auto" w:fill="auto"/>
          </w:tcPr>
          <w:p w:rsidR="005A43FF" w:rsidRDefault="005A43FF" w:rsidP="005A43FF">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5A43FF" w:rsidRPr="00CE77FE" w:rsidRDefault="005A43FF" w:rsidP="005A43FF">
            <w:pPr>
              <w:rPr>
                <w:rFonts w:cstheme="minorHAnsi"/>
                <w:b/>
                <w:sz w:val="10"/>
                <w:szCs w:val="10"/>
              </w:rPr>
            </w:pPr>
          </w:p>
          <w:p w:rsidR="005A43FF" w:rsidRPr="00032274" w:rsidRDefault="005A43FF" w:rsidP="005A43FF">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5A43FF" w:rsidRPr="00032274" w:rsidRDefault="0031049E" w:rsidP="005A43FF">
            <w:pPr>
              <w:ind w:left="72"/>
              <w:rPr>
                <w:rFonts w:eastAsia="Times New Roman" w:cstheme="minorHAnsi"/>
                <w:b/>
                <w:sz w:val="16"/>
                <w:szCs w:val="16"/>
              </w:rPr>
            </w:pPr>
            <w:sdt>
              <w:sdtPr>
                <w:rPr>
                  <w:rFonts w:eastAsia="Times New Roman" w:cstheme="minorHAnsi"/>
                  <w:b/>
                  <w:sz w:val="16"/>
                  <w:szCs w:val="16"/>
                </w:rPr>
                <w:id w:val="-1715183457"/>
                <w14:checkbox>
                  <w14:checked w14:val="0"/>
                  <w14:checkedState w14:val="2612" w14:font="MS Gothic"/>
                  <w14:uncheckedState w14:val="2610" w14:font="MS Gothic"/>
                </w14:checkbox>
              </w:sdtPr>
              <w:sdtEndPr/>
              <w:sdtContent>
                <w:r w:rsidR="005A43FF" w:rsidRPr="00032274">
                  <w:rPr>
                    <w:rFonts w:ascii="Segoe UI Symbol" w:eastAsia="MS Gothic" w:hAnsi="Segoe UI Symbol" w:cs="Segoe UI Symbol"/>
                    <w:b/>
                    <w:sz w:val="16"/>
                    <w:szCs w:val="16"/>
                  </w:rPr>
                  <w:t>☐</w:t>
                </w:r>
              </w:sdtContent>
            </w:sdt>
            <w:r w:rsidR="005A43FF" w:rsidRPr="00032274">
              <w:rPr>
                <w:rFonts w:eastAsia="Times New Roman" w:cstheme="minorHAnsi"/>
                <w:b/>
                <w:sz w:val="16"/>
                <w:szCs w:val="16"/>
              </w:rPr>
              <w:t xml:space="preserve"> YES, No Issues Identified</w:t>
            </w:r>
          </w:p>
          <w:p w:rsidR="005A43FF" w:rsidRDefault="0031049E" w:rsidP="005A43FF">
            <w:pPr>
              <w:ind w:left="72"/>
              <w:rPr>
                <w:rFonts w:eastAsia="Times New Roman" w:cstheme="minorHAnsi"/>
                <w:b/>
                <w:sz w:val="16"/>
                <w:szCs w:val="16"/>
              </w:rPr>
            </w:pPr>
            <w:sdt>
              <w:sdtPr>
                <w:rPr>
                  <w:rFonts w:eastAsia="Times New Roman" w:cstheme="minorHAnsi"/>
                  <w:b/>
                  <w:sz w:val="16"/>
                  <w:szCs w:val="16"/>
                </w:rPr>
                <w:id w:val="90438322"/>
                <w14:checkbox>
                  <w14:checked w14:val="0"/>
                  <w14:checkedState w14:val="2612" w14:font="MS Gothic"/>
                  <w14:uncheckedState w14:val="2610" w14:font="MS Gothic"/>
                </w14:checkbox>
              </w:sdtPr>
              <w:sdtEndPr/>
              <w:sdtContent>
                <w:r w:rsidR="005A43FF" w:rsidRPr="00032274">
                  <w:rPr>
                    <w:rFonts w:ascii="Segoe UI Symbol" w:eastAsia="Times New Roman" w:hAnsi="Segoe UI Symbol" w:cs="Segoe UI Symbol"/>
                    <w:b/>
                    <w:sz w:val="16"/>
                    <w:szCs w:val="16"/>
                  </w:rPr>
                  <w:t>☐</w:t>
                </w:r>
              </w:sdtContent>
            </w:sdt>
            <w:r w:rsidR="005A43FF" w:rsidRPr="00032274">
              <w:rPr>
                <w:rFonts w:eastAsia="Times New Roman" w:cstheme="minorHAnsi"/>
                <w:b/>
                <w:sz w:val="16"/>
                <w:szCs w:val="16"/>
              </w:rPr>
              <w:t xml:space="preserve"> N</w:t>
            </w:r>
            <w:r w:rsidR="005A43FF" w:rsidRPr="00032274">
              <w:rPr>
                <w:rFonts w:eastAsia="Times New Roman" w:cstheme="minorHAnsi"/>
                <w:b/>
                <w:caps/>
                <w:sz w:val="16"/>
                <w:szCs w:val="16"/>
              </w:rPr>
              <w:t>o</w:t>
            </w:r>
            <w:r w:rsidR="005A43FF" w:rsidRPr="00032274">
              <w:rPr>
                <w:rFonts w:eastAsia="Times New Roman" w:cstheme="minorHAnsi"/>
                <w:b/>
                <w:sz w:val="16"/>
                <w:szCs w:val="16"/>
              </w:rPr>
              <w:t xml:space="preserve">, LWDB did not meet </w:t>
            </w:r>
          </w:p>
          <w:p w:rsidR="005A43FF" w:rsidRDefault="005A43FF" w:rsidP="005A43FF">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5A43FF" w:rsidRPr="00032274" w:rsidRDefault="005A43FF" w:rsidP="005A43FF">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5A43FF" w:rsidRPr="003F57E0" w:rsidRDefault="005A43FF" w:rsidP="005A43FF">
            <w:pPr>
              <w:rPr>
                <w:rFonts w:cstheme="minorHAnsi"/>
                <w:b/>
                <w:sz w:val="16"/>
                <w:szCs w:val="16"/>
              </w:rPr>
            </w:pPr>
            <w:r w:rsidRPr="00A410A7">
              <w:rPr>
                <w:rFonts w:cstheme="minorHAnsi"/>
                <w:b/>
                <w:sz w:val="16"/>
                <w:szCs w:val="16"/>
              </w:rPr>
              <w:t xml:space="preserve"> </w:t>
            </w:r>
          </w:p>
        </w:tc>
        <w:tc>
          <w:tcPr>
            <w:tcW w:w="1980" w:type="dxa"/>
            <w:tcBorders>
              <w:top w:val="single" w:sz="4" w:space="0" w:color="auto"/>
              <w:bottom w:val="single" w:sz="4" w:space="0" w:color="auto"/>
            </w:tcBorders>
          </w:tcPr>
          <w:p w:rsidR="005A43FF" w:rsidRPr="00DB4F96" w:rsidRDefault="005A43FF" w:rsidP="005A43FF">
            <w:pPr>
              <w:rPr>
                <w:rFonts w:eastAsia="Times New Roman" w:cstheme="minorHAnsi"/>
                <w:sz w:val="6"/>
                <w:szCs w:val="6"/>
              </w:rPr>
            </w:pPr>
          </w:p>
        </w:tc>
      </w:tr>
    </w:tbl>
    <w:p w:rsidR="005A43FF" w:rsidRDefault="005A43FF">
      <w:r>
        <w:br w:type="page"/>
      </w:r>
    </w:p>
    <w:tbl>
      <w:tblPr>
        <w:tblStyle w:val="TableGrid"/>
        <w:tblW w:w="14922" w:type="dxa"/>
        <w:tblInd w:w="13" w:type="dxa"/>
        <w:tblLook w:val="04A0" w:firstRow="1" w:lastRow="0" w:firstColumn="1" w:lastColumn="0" w:noHBand="0" w:noVBand="1"/>
      </w:tblPr>
      <w:tblGrid>
        <w:gridCol w:w="2502"/>
        <w:gridCol w:w="1260"/>
        <w:gridCol w:w="3240"/>
        <w:gridCol w:w="3240"/>
        <w:gridCol w:w="2700"/>
        <w:gridCol w:w="1980"/>
      </w:tblGrid>
      <w:tr w:rsidR="00D32736" w:rsidTr="005A43FF">
        <w:tc>
          <w:tcPr>
            <w:tcW w:w="14922" w:type="dxa"/>
            <w:gridSpan w:val="6"/>
            <w:tcBorders>
              <w:top w:val="single" w:sz="12" w:space="0" w:color="auto"/>
              <w:bottom w:val="single" w:sz="12" w:space="0" w:color="auto"/>
            </w:tcBorders>
            <w:shd w:val="clear" w:color="auto" w:fill="D5DCE4" w:themeFill="text2" w:themeFillTint="33"/>
          </w:tcPr>
          <w:p w:rsidR="00D32736" w:rsidRPr="00DB4F96" w:rsidRDefault="00D32736" w:rsidP="001010FC">
            <w:pPr>
              <w:rPr>
                <w:rFonts w:eastAsia="Times New Roman" w:cstheme="minorHAnsi"/>
                <w:sz w:val="14"/>
                <w:szCs w:val="14"/>
              </w:rPr>
            </w:pPr>
            <w:r w:rsidRPr="001010FC">
              <w:rPr>
                <w:rFonts w:cstheme="minorHAnsi"/>
                <w:b/>
                <w:sz w:val="20"/>
                <w:szCs w:val="20"/>
              </w:rPr>
              <w:lastRenderedPageBreak/>
              <w:t>ADMINISTRATIVE &amp; FISCAL REVIEW</w:t>
            </w:r>
          </w:p>
        </w:tc>
      </w:tr>
      <w:tr w:rsidR="00D32736" w:rsidTr="005A43FF">
        <w:tc>
          <w:tcPr>
            <w:tcW w:w="2502" w:type="dxa"/>
            <w:tcBorders>
              <w:top w:val="single" w:sz="12" w:space="0" w:color="auto"/>
              <w:bottom w:val="single" w:sz="4" w:space="0" w:color="auto"/>
            </w:tcBorders>
          </w:tcPr>
          <w:p w:rsidR="004B4292" w:rsidRPr="00A86157" w:rsidRDefault="004B4292" w:rsidP="004B4292">
            <w:pPr>
              <w:rPr>
                <w:rFonts w:cstheme="minorHAnsi"/>
                <w:b/>
                <w:sz w:val="16"/>
                <w:szCs w:val="16"/>
              </w:rPr>
            </w:pPr>
            <w:r>
              <w:rPr>
                <w:rFonts w:cstheme="minorHAnsi"/>
                <w:b/>
                <w:sz w:val="16"/>
                <w:szCs w:val="16"/>
              </w:rPr>
              <w:t>CASH AND FINANCIAL MANAGEMENT/A19 REIMBURSEMENTS</w:t>
            </w:r>
          </w:p>
          <w:p w:rsidR="00D32736" w:rsidRPr="00D814D6" w:rsidRDefault="004B4292" w:rsidP="004B4292">
            <w:pPr>
              <w:autoSpaceDE w:val="0"/>
              <w:autoSpaceDN w:val="0"/>
              <w:adjustRightInd w:val="0"/>
              <w:rPr>
                <w:rFonts w:cstheme="minorHAnsi"/>
                <w:sz w:val="16"/>
                <w:szCs w:val="16"/>
              </w:rPr>
            </w:pPr>
            <w:r w:rsidRPr="00FF7A8D">
              <w:rPr>
                <w:rFonts w:cstheme="minorHAnsi"/>
                <w:i/>
                <w:sz w:val="14"/>
                <w:szCs w:val="14"/>
              </w:rPr>
              <w:t xml:space="preserve">Reimbursements must be supported by records that identify the federally funded expenditures and be supported by source documentation to determine </w:t>
            </w:r>
            <w:proofErr w:type="spellStart"/>
            <w:r w:rsidRPr="00FF7A8D">
              <w:rPr>
                <w:rFonts w:cstheme="minorHAnsi"/>
                <w:i/>
                <w:sz w:val="14"/>
                <w:szCs w:val="14"/>
              </w:rPr>
              <w:t>allowability</w:t>
            </w:r>
            <w:proofErr w:type="spellEnd"/>
            <w:r w:rsidRPr="00FF7A8D">
              <w:rPr>
                <w:rFonts w:cstheme="minorHAnsi"/>
                <w:i/>
                <w:sz w:val="14"/>
                <w:szCs w:val="14"/>
              </w:rPr>
              <w:t xml:space="preserve"> based on the scope of work outlined in the Rapid Response contract from ESD.  </w:t>
            </w:r>
          </w:p>
        </w:tc>
        <w:tc>
          <w:tcPr>
            <w:tcW w:w="1260" w:type="dxa"/>
            <w:tcBorders>
              <w:top w:val="single" w:sz="12" w:space="0" w:color="auto"/>
              <w:bottom w:val="single" w:sz="4" w:space="0" w:color="auto"/>
            </w:tcBorders>
          </w:tcPr>
          <w:p w:rsidR="00D32736" w:rsidRPr="00D814D6" w:rsidRDefault="00E11FE1" w:rsidP="001010FC">
            <w:pPr>
              <w:rPr>
                <w:rFonts w:cstheme="minorHAnsi"/>
                <w:sz w:val="16"/>
                <w:szCs w:val="16"/>
              </w:rPr>
            </w:pPr>
            <w:r>
              <w:rPr>
                <w:rFonts w:cstheme="minorHAnsi"/>
                <w:b/>
                <w:sz w:val="16"/>
                <w:szCs w:val="16"/>
              </w:rPr>
              <w:t>Annual Monitoring Review</w:t>
            </w:r>
            <w:r w:rsidRPr="00D814D6">
              <w:rPr>
                <w:rFonts w:cstheme="minorHAnsi"/>
                <w:sz w:val="16"/>
                <w:szCs w:val="16"/>
              </w:rPr>
              <w:t xml:space="preserve"> </w:t>
            </w:r>
          </w:p>
        </w:tc>
        <w:tc>
          <w:tcPr>
            <w:tcW w:w="3240" w:type="dxa"/>
            <w:tcBorders>
              <w:top w:val="single" w:sz="12" w:space="0" w:color="auto"/>
              <w:bottom w:val="single" w:sz="4" w:space="0" w:color="auto"/>
            </w:tcBorders>
          </w:tcPr>
          <w:p w:rsidR="004B4292" w:rsidRPr="003A01C3" w:rsidRDefault="004B4292" w:rsidP="004B4292">
            <w:pPr>
              <w:pStyle w:val="ListParagraph"/>
              <w:numPr>
                <w:ilvl w:val="0"/>
                <w:numId w:val="1"/>
              </w:numPr>
              <w:ind w:left="57" w:hanging="90"/>
              <w:rPr>
                <w:rFonts w:cstheme="minorHAnsi"/>
                <w:sz w:val="16"/>
                <w:szCs w:val="16"/>
              </w:rPr>
            </w:pPr>
            <w:r w:rsidRPr="003A01C3">
              <w:rPr>
                <w:rFonts w:cstheme="minorHAnsi"/>
                <w:sz w:val="16"/>
                <w:szCs w:val="16"/>
              </w:rPr>
              <w:t>2 CFR Sec. 200.302 – 200.309</w:t>
            </w:r>
          </w:p>
          <w:p w:rsidR="004B4292" w:rsidRDefault="004B4292" w:rsidP="004B4292">
            <w:pPr>
              <w:pStyle w:val="ListParagraph"/>
              <w:numPr>
                <w:ilvl w:val="0"/>
                <w:numId w:val="24"/>
              </w:numPr>
              <w:ind w:left="252" w:hanging="252"/>
              <w:rPr>
                <w:rFonts w:cstheme="minorHAnsi"/>
                <w:sz w:val="16"/>
                <w:szCs w:val="16"/>
              </w:rPr>
            </w:pPr>
            <w:r w:rsidRPr="003A01C3">
              <w:rPr>
                <w:rFonts w:cstheme="minorHAnsi"/>
                <w:sz w:val="16"/>
                <w:szCs w:val="16"/>
              </w:rPr>
              <w:t xml:space="preserve">Test of cost </w:t>
            </w:r>
            <w:proofErr w:type="spellStart"/>
            <w:r w:rsidRPr="003A01C3">
              <w:rPr>
                <w:rFonts w:cstheme="minorHAnsi"/>
                <w:sz w:val="16"/>
                <w:szCs w:val="16"/>
              </w:rPr>
              <w:t>allowability</w:t>
            </w:r>
            <w:proofErr w:type="spellEnd"/>
            <w:r w:rsidRPr="003A01C3">
              <w:rPr>
                <w:rFonts w:cstheme="minorHAnsi"/>
                <w:sz w:val="16"/>
                <w:szCs w:val="16"/>
              </w:rPr>
              <w:t xml:space="preserve"> for federal grants</w:t>
            </w:r>
          </w:p>
          <w:p w:rsidR="004B4292" w:rsidRPr="003A01C3" w:rsidRDefault="004B4292" w:rsidP="004B4292">
            <w:pPr>
              <w:pStyle w:val="ListParagraph"/>
              <w:numPr>
                <w:ilvl w:val="0"/>
                <w:numId w:val="24"/>
              </w:numPr>
              <w:ind w:left="252" w:hanging="252"/>
              <w:rPr>
                <w:rFonts w:cstheme="minorHAnsi"/>
                <w:sz w:val="16"/>
                <w:szCs w:val="16"/>
              </w:rPr>
            </w:pPr>
            <w:proofErr w:type="spellStart"/>
            <w:r w:rsidRPr="003A01C3">
              <w:rPr>
                <w:rFonts w:eastAsia="Calibri" w:cstheme="minorHAnsi"/>
                <w:sz w:val="16"/>
                <w:szCs w:val="16"/>
              </w:rPr>
              <w:t>Allowability</w:t>
            </w:r>
            <w:proofErr w:type="spellEnd"/>
            <w:r w:rsidRPr="003A01C3">
              <w:rPr>
                <w:rFonts w:eastAsia="Calibri" w:cstheme="minorHAnsi"/>
                <w:sz w:val="16"/>
                <w:szCs w:val="16"/>
              </w:rPr>
              <w:t xml:space="preserve"> – Factors affecting </w:t>
            </w:r>
            <w:proofErr w:type="spellStart"/>
            <w:r w:rsidRPr="003A01C3">
              <w:rPr>
                <w:rFonts w:eastAsia="Calibri" w:cstheme="minorHAnsi"/>
                <w:sz w:val="16"/>
                <w:szCs w:val="16"/>
              </w:rPr>
              <w:t>allowability</w:t>
            </w:r>
            <w:proofErr w:type="spellEnd"/>
            <w:r w:rsidRPr="003A01C3">
              <w:rPr>
                <w:rFonts w:eastAsia="Calibri" w:cstheme="minorHAnsi"/>
                <w:sz w:val="16"/>
                <w:szCs w:val="16"/>
              </w:rPr>
              <w:t xml:space="preserve"> of costs (2 CFR 200.403)</w:t>
            </w:r>
          </w:p>
          <w:p w:rsidR="004B4292" w:rsidRPr="003A01C3" w:rsidRDefault="004B4292" w:rsidP="004B4292">
            <w:pPr>
              <w:pStyle w:val="ListParagraph"/>
              <w:numPr>
                <w:ilvl w:val="0"/>
                <w:numId w:val="24"/>
              </w:numPr>
              <w:ind w:left="252" w:hanging="252"/>
              <w:rPr>
                <w:rFonts w:cstheme="minorHAnsi"/>
                <w:sz w:val="16"/>
                <w:szCs w:val="16"/>
              </w:rPr>
            </w:pPr>
            <w:r w:rsidRPr="003A01C3">
              <w:rPr>
                <w:rFonts w:eastAsia="Calibri" w:cstheme="minorHAnsi"/>
                <w:sz w:val="16"/>
                <w:szCs w:val="16"/>
              </w:rPr>
              <w:t>Reasonable Costs (2 CFR 200.404)</w:t>
            </w:r>
          </w:p>
          <w:p w:rsidR="004B4292" w:rsidRPr="003A01C3" w:rsidRDefault="004B4292" w:rsidP="004B4292">
            <w:pPr>
              <w:pStyle w:val="ListParagraph"/>
              <w:numPr>
                <w:ilvl w:val="0"/>
                <w:numId w:val="24"/>
              </w:numPr>
              <w:ind w:left="252" w:hanging="252"/>
              <w:rPr>
                <w:rFonts w:cstheme="minorHAnsi"/>
                <w:sz w:val="16"/>
                <w:szCs w:val="16"/>
              </w:rPr>
            </w:pPr>
            <w:r w:rsidRPr="003A01C3">
              <w:rPr>
                <w:rFonts w:eastAsia="Calibri" w:cstheme="minorHAnsi"/>
                <w:sz w:val="16"/>
                <w:szCs w:val="16"/>
              </w:rPr>
              <w:t>Allocable Costs (2 CFR 200.405)</w:t>
            </w:r>
          </w:p>
          <w:p w:rsidR="00D32736" w:rsidRPr="00E11FE1" w:rsidRDefault="00D32736" w:rsidP="004B4292">
            <w:pPr>
              <w:autoSpaceDE w:val="0"/>
              <w:autoSpaceDN w:val="0"/>
              <w:adjustRightInd w:val="0"/>
              <w:ind w:left="147"/>
              <w:contextualSpacing/>
              <w:rPr>
                <w:rFonts w:cstheme="minorHAnsi"/>
                <w:sz w:val="16"/>
                <w:szCs w:val="16"/>
              </w:rPr>
            </w:pPr>
          </w:p>
        </w:tc>
        <w:tc>
          <w:tcPr>
            <w:tcW w:w="3240" w:type="dxa"/>
            <w:tcBorders>
              <w:top w:val="single" w:sz="12" w:space="0" w:color="auto"/>
              <w:bottom w:val="single" w:sz="4" w:space="0" w:color="auto"/>
            </w:tcBorders>
          </w:tcPr>
          <w:p w:rsidR="004B4292" w:rsidRDefault="0031049E" w:rsidP="004B4292">
            <w:pPr>
              <w:pStyle w:val="ListParagraph"/>
              <w:ind w:left="0"/>
              <w:rPr>
                <w:rFonts w:cstheme="minorHAnsi"/>
                <w:sz w:val="16"/>
                <w:szCs w:val="16"/>
              </w:rPr>
            </w:pPr>
            <w:sdt>
              <w:sdtPr>
                <w:rPr>
                  <w:rFonts w:eastAsia="Times New Roman" w:cstheme="minorHAnsi"/>
                  <w:b/>
                  <w:sz w:val="16"/>
                  <w:szCs w:val="16"/>
                </w:rPr>
                <w:id w:val="-1310169476"/>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What is the LWDBs</w:t>
            </w:r>
            <w:r w:rsidR="004B4292" w:rsidRPr="00F16F1F">
              <w:rPr>
                <w:rFonts w:cstheme="minorHAnsi"/>
                <w:sz w:val="16"/>
                <w:szCs w:val="16"/>
              </w:rPr>
              <w:t xml:space="preserve"> process, including the </w:t>
            </w:r>
          </w:p>
          <w:p w:rsidR="004B4292" w:rsidRDefault="004B4292" w:rsidP="004B4292">
            <w:pPr>
              <w:pStyle w:val="ListParagraph"/>
              <w:ind w:left="0"/>
              <w:rPr>
                <w:rFonts w:cstheme="minorHAnsi"/>
                <w:sz w:val="16"/>
                <w:szCs w:val="16"/>
              </w:rPr>
            </w:pPr>
            <w:r>
              <w:rPr>
                <w:rFonts w:cstheme="minorHAnsi"/>
                <w:sz w:val="16"/>
                <w:szCs w:val="16"/>
              </w:rPr>
              <w:t xml:space="preserve">     </w:t>
            </w:r>
            <w:r w:rsidRPr="00F16F1F">
              <w:rPr>
                <w:rFonts w:cstheme="minorHAnsi"/>
                <w:sz w:val="16"/>
                <w:szCs w:val="16"/>
              </w:rPr>
              <w:t xml:space="preserve">names/positions of key staff, </w:t>
            </w:r>
            <w:r>
              <w:rPr>
                <w:rFonts w:cstheme="minorHAnsi"/>
                <w:sz w:val="16"/>
                <w:szCs w:val="16"/>
              </w:rPr>
              <w:t xml:space="preserve">for ensuring </w:t>
            </w:r>
          </w:p>
          <w:p w:rsidR="004B4292" w:rsidRDefault="004B4292" w:rsidP="004B4292">
            <w:pPr>
              <w:pStyle w:val="ListParagraph"/>
              <w:ind w:left="0"/>
              <w:rPr>
                <w:rFonts w:cstheme="minorHAnsi"/>
                <w:sz w:val="16"/>
                <w:szCs w:val="16"/>
              </w:rPr>
            </w:pPr>
            <w:r>
              <w:rPr>
                <w:rFonts w:cstheme="minorHAnsi"/>
                <w:sz w:val="16"/>
                <w:szCs w:val="16"/>
              </w:rPr>
              <w:t xml:space="preserve">     that reimbursement cl</w:t>
            </w:r>
            <w:r w:rsidRPr="00822BA4">
              <w:rPr>
                <w:rFonts w:cstheme="minorHAnsi"/>
                <w:sz w:val="16"/>
                <w:szCs w:val="16"/>
              </w:rPr>
              <w:t xml:space="preserve">aims are prepared </w:t>
            </w:r>
          </w:p>
          <w:p w:rsidR="004B4292" w:rsidRPr="00822BA4" w:rsidRDefault="004B4292" w:rsidP="004B4292">
            <w:pPr>
              <w:pStyle w:val="ListParagraph"/>
              <w:ind w:left="0"/>
              <w:rPr>
                <w:rFonts w:cstheme="minorHAnsi"/>
                <w:sz w:val="16"/>
                <w:szCs w:val="16"/>
              </w:rPr>
            </w:pPr>
            <w:r>
              <w:rPr>
                <w:rFonts w:cstheme="minorHAnsi"/>
                <w:sz w:val="16"/>
                <w:szCs w:val="16"/>
              </w:rPr>
              <w:t xml:space="preserve">     </w:t>
            </w:r>
            <w:proofErr w:type="gramStart"/>
            <w:r w:rsidRPr="00822BA4">
              <w:rPr>
                <w:rFonts w:cstheme="minorHAnsi"/>
                <w:sz w:val="16"/>
                <w:szCs w:val="16"/>
              </w:rPr>
              <w:t>timely</w:t>
            </w:r>
            <w:proofErr w:type="gramEnd"/>
            <w:r w:rsidRPr="00822BA4">
              <w:rPr>
                <w:rFonts w:cstheme="minorHAnsi"/>
                <w:sz w:val="16"/>
                <w:szCs w:val="16"/>
              </w:rPr>
              <w:t xml:space="preserve"> and reconciled.</w:t>
            </w:r>
          </w:p>
          <w:p w:rsidR="004B4292" w:rsidRPr="00F16F1F" w:rsidRDefault="0031049E" w:rsidP="004B4292">
            <w:pPr>
              <w:pStyle w:val="ListParagraph"/>
              <w:ind w:left="162" w:hanging="180"/>
              <w:rPr>
                <w:rFonts w:cstheme="minorHAnsi"/>
                <w:sz w:val="16"/>
                <w:szCs w:val="16"/>
              </w:rPr>
            </w:pPr>
            <w:sdt>
              <w:sdtPr>
                <w:rPr>
                  <w:rFonts w:eastAsia="Times New Roman" w:cstheme="minorHAnsi"/>
                  <w:b/>
                  <w:sz w:val="16"/>
                  <w:szCs w:val="16"/>
                </w:rPr>
                <w:id w:val="3637568"/>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Obtain a copy of LWDBs</w:t>
            </w:r>
            <w:r w:rsidR="004B4292" w:rsidRPr="00F16F1F">
              <w:rPr>
                <w:rFonts w:cstheme="minorHAnsi"/>
                <w:sz w:val="16"/>
                <w:szCs w:val="16"/>
              </w:rPr>
              <w:t xml:space="preserve"> chart of account with subprograms</w:t>
            </w:r>
          </w:p>
          <w:p w:rsidR="004B4292" w:rsidRPr="00F16F1F" w:rsidRDefault="0031049E" w:rsidP="004B4292">
            <w:pPr>
              <w:pStyle w:val="ListParagraph"/>
              <w:ind w:left="162" w:hanging="162"/>
              <w:rPr>
                <w:rFonts w:cstheme="minorHAnsi"/>
                <w:sz w:val="16"/>
                <w:szCs w:val="16"/>
              </w:rPr>
            </w:pPr>
            <w:sdt>
              <w:sdtPr>
                <w:rPr>
                  <w:rFonts w:eastAsia="Times New Roman" w:cstheme="minorHAnsi"/>
                  <w:b/>
                  <w:sz w:val="16"/>
                  <w:szCs w:val="16"/>
                </w:rPr>
                <w:id w:val="-501201073"/>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Obtain a copy of Expenditure Summary Reports</w:t>
            </w:r>
            <w:r w:rsidR="004B4292" w:rsidRPr="00F16F1F">
              <w:rPr>
                <w:rFonts w:cstheme="minorHAnsi"/>
                <w:sz w:val="16"/>
                <w:szCs w:val="16"/>
              </w:rPr>
              <w:t xml:space="preserve"> by program that is used to reconcile to</w:t>
            </w:r>
            <w:r w:rsidR="004B4292">
              <w:rPr>
                <w:rFonts w:cstheme="minorHAnsi"/>
                <w:sz w:val="16"/>
                <w:szCs w:val="16"/>
              </w:rPr>
              <w:t xml:space="preserve"> </w:t>
            </w:r>
            <w:r w:rsidR="004B4292" w:rsidRPr="00F16F1F">
              <w:rPr>
                <w:rFonts w:cstheme="minorHAnsi"/>
                <w:sz w:val="16"/>
                <w:szCs w:val="16"/>
              </w:rPr>
              <w:t>reimbursement claims as well as the detailed expenditure report</w:t>
            </w:r>
          </w:p>
          <w:p w:rsidR="004B4292" w:rsidRDefault="0031049E" w:rsidP="004B4292">
            <w:pPr>
              <w:pStyle w:val="ListParagraph"/>
              <w:ind w:left="0"/>
              <w:rPr>
                <w:rFonts w:cstheme="minorHAnsi"/>
                <w:sz w:val="16"/>
                <w:szCs w:val="16"/>
              </w:rPr>
            </w:pPr>
            <w:sdt>
              <w:sdtPr>
                <w:rPr>
                  <w:rFonts w:eastAsia="Times New Roman" w:cstheme="minorHAnsi"/>
                  <w:b/>
                  <w:sz w:val="16"/>
                  <w:szCs w:val="16"/>
                </w:rPr>
                <w:id w:val="-277879721"/>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Are there </w:t>
            </w:r>
            <w:r w:rsidR="004B4292" w:rsidRPr="00F16F1F">
              <w:rPr>
                <w:rFonts w:cstheme="minorHAnsi"/>
                <w:sz w:val="16"/>
                <w:szCs w:val="16"/>
              </w:rPr>
              <w:t xml:space="preserve">any variances between the </w:t>
            </w:r>
          </w:p>
          <w:p w:rsidR="004B4292" w:rsidRDefault="004B4292" w:rsidP="004B4292">
            <w:pPr>
              <w:pStyle w:val="ListParagraph"/>
              <w:ind w:left="0"/>
              <w:rPr>
                <w:rFonts w:cstheme="minorHAnsi"/>
                <w:sz w:val="16"/>
                <w:szCs w:val="16"/>
              </w:rPr>
            </w:pPr>
            <w:r>
              <w:rPr>
                <w:rFonts w:cstheme="minorHAnsi"/>
                <w:sz w:val="16"/>
                <w:szCs w:val="16"/>
              </w:rPr>
              <w:t xml:space="preserve">     </w:t>
            </w:r>
            <w:r w:rsidRPr="00F16F1F">
              <w:rPr>
                <w:rFonts w:cstheme="minorHAnsi"/>
                <w:sz w:val="16"/>
                <w:szCs w:val="16"/>
              </w:rPr>
              <w:t xml:space="preserve">reimbursement claims and expenditure </w:t>
            </w:r>
          </w:p>
          <w:p w:rsidR="004B4292" w:rsidRDefault="004B4292" w:rsidP="004B4292">
            <w:pPr>
              <w:pStyle w:val="ListParagraph"/>
              <w:ind w:left="0"/>
              <w:rPr>
                <w:rFonts w:cstheme="minorHAnsi"/>
                <w:sz w:val="16"/>
                <w:szCs w:val="16"/>
              </w:rPr>
            </w:pPr>
            <w:r>
              <w:rPr>
                <w:rFonts w:cstheme="minorHAnsi"/>
                <w:sz w:val="16"/>
                <w:szCs w:val="16"/>
              </w:rPr>
              <w:t xml:space="preserve">     </w:t>
            </w:r>
            <w:r w:rsidRPr="00F16F1F">
              <w:rPr>
                <w:rFonts w:cstheme="minorHAnsi"/>
                <w:sz w:val="16"/>
                <w:szCs w:val="16"/>
              </w:rPr>
              <w:t>summary report, if any</w:t>
            </w:r>
          </w:p>
          <w:p w:rsidR="004B4292" w:rsidRDefault="0031049E" w:rsidP="004B4292">
            <w:pPr>
              <w:ind w:right="-108"/>
              <w:rPr>
                <w:rFonts w:cstheme="minorHAnsi"/>
                <w:sz w:val="16"/>
                <w:szCs w:val="16"/>
              </w:rPr>
            </w:pPr>
            <w:sdt>
              <w:sdtPr>
                <w:rPr>
                  <w:rFonts w:eastAsia="Times New Roman" w:cstheme="minorHAnsi"/>
                  <w:b/>
                  <w:sz w:val="16"/>
                  <w:szCs w:val="16"/>
                </w:rPr>
                <w:id w:val="1240681682"/>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sidRPr="00F16F1F">
              <w:rPr>
                <w:rFonts w:cstheme="minorHAnsi"/>
                <w:sz w:val="16"/>
                <w:szCs w:val="16"/>
              </w:rPr>
              <w:t xml:space="preserve"> </w:t>
            </w:r>
            <w:r w:rsidR="004B4292">
              <w:rPr>
                <w:rFonts w:cstheme="minorHAnsi"/>
                <w:sz w:val="16"/>
                <w:szCs w:val="16"/>
              </w:rPr>
              <w:t>Is this program generating program income?</w:t>
            </w:r>
          </w:p>
          <w:p w:rsidR="004B4292" w:rsidRDefault="004B4292" w:rsidP="004B4292">
            <w:pPr>
              <w:ind w:right="-108"/>
              <w:rPr>
                <w:rFonts w:cstheme="minorHAnsi"/>
                <w:sz w:val="16"/>
                <w:szCs w:val="16"/>
              </w:rPr>
            </w:pPr>
            <w:r>
              <w:rPr>
                <w:rFonts w:cstheme="minorHAnsi"/>
                <w:sz w:val="16"/>
                <w:szCs w:val="16"/>
              </w:rPr>
              <w:t xml:space="preserve">     If so, how is it program income generated </w:t>
            </w:r>
          </w:p>
          <w:p w:rsidR="004B4292" w:rsidRDefault="004B4292" w:rsidP="004B4292">
            <w:pPr>
              <w:ind w:right="-108"/>
              <w:rPr>
                <w:rFonts w:cstheme="minorHAnsi"/>
                <w:sz w:val="16"/>
                <w:szCs w:val="16"/>
              </w:rPr>
            </w:pPr>
            <w:r>
              <w:rPr>
                <w:rFonts w:cstheme="minorHAnsi"/>
                <w:sz w:val="16"/>
                <w:szCs w:val="16"/>
              </w:rPr>
              <w:t xml:space="preserve">     and how is it being reported on the quarterly</w:t>
            </w:r>
          </w:p>
          <w:p w:rsidR="00D32736" w:rsidRPr="004B4292" w:rsidRDefault="004B4292" w:rsidP="004B4292">
            <w:pPr>
              <w:autoSpaceDE w:val="0"/>
              <w:autoSpaceDN w:val="0"/>
              <w:adjustRightInd w:val="0"/>
              <w:rPr>
                <w:rFonts w:cstheme="minorHAnsi"/>
                <w:sz w:val="16"/>
                <w:szCs w:val="16"/>
              </w:rPr>
            </w:pPr>
            <w:r>
              <w:rPr>
                <w:rFonts w:cstheme="minorHAnsi"/>
                <w:sz w:val="16"/>
                <w:szCs w:val="16"/>
              </w:rPr>
              <w:t xml:space="preserve">     </w:t>
            </w:r>
            <w:proofErr w:type="gramStart"/>
            <w:r>
              <w:rPr>
                <w:rFonts w:cstheme="minorHAnsi"/>
                <w:sz w:val="16"/>
                <w:szCs w:val="16"/>
              </w:rPr>
              <w:t>reports</w:t>
            </w:r>
            <w:proofErr w:type="gramEnd"/>
            <w:r>
              <w:rPr>
                <w:rFonts w:cstheme="minorHAnsi"/>
                <w:sz w:val="16"/>
                <w:szCs w:val="16"/>
              </w:rPr>
              <w:t xml:space="preserve"> to ESD?</w:t>
            </w:r>
          </w:p>
        </w:tc>
        <w:tc>
          <w:tcPr>
            <w:tcW w:w="2700" w:type="dxa"/>
            <w:tcBorders>
              <w:bottom w:val="single" w:sz="4" w:space="0" w:color="auto"/>
            </w:tcBorders>
          </w:tcPr>
          <w:p w:rsidR="00AA6EF1" w:rsidRPr="00D1619C" w:rsidRDefault="00AA6EF1" w:rsidP="00AA6EF1">
            <w:pPr>
              <w:rPr>
                <w:rFonts w:cstheme="minorHAnsi"/>
                <w:b/>
                <w:sz w:val="16"/>
                <w:szCs w:val="16"/>
              </w:rPr>
            </w:pPr>
            <w:r w:rsidRPr="00D1619C">
              <w:rPr>
                <w:rFonts w:cstheme="minorHAnsi"/>
                <w:b/>
                <w:sz w:val="16"/>
                <w:szCs w:val="16"/>
              </w:rPr>
              <w:t>Monitoring annually</w:t>
            </w:r>
            <w:r>
              <w:rPr>
                <w:rFonts w:cstheme="minorHAnsi"/>
                <w:b/>
                <w:sz w:val="16"/>
                <w:szCs w:val="16"/>
              </w:rPr>
              <w:t>:</w:t>
            </w:r>
          </w:p>
          <w:p w:rsidR="00AA6EF1" w:rsidRPr="00645F5F" w:rsidRDefault="00AA6EF1" w:rsidP="00AA6EF1">
            <w:pPr>
              <w:rPr>
                <w:rFonts w:cstheme="minorHAnsi"/>
                <w:sz w:val="6"/>
                <w:szCs w:val="6"/>
              </w:rPr>
            </w:pPr>
          </w:p>
          <w:p w:rsidR="00AA6EF1" w:rsidRPr="00C20E43" w:rsidRDefault="0031049E" w:rsidP="00AA6EF1">
            <w:pPr>
              <w:rPr>
                <w:rFonts w:cstheme="minorHAnsi"/>
                <w:sz w:val="16"/>
                <w:szCs w:val="16"/>
              </w:rPr>
            </w:pPr>
            <w:sdt>
              <w:sdtPr>
                <w:rPr>
                  <w:rFonts w:cstheme="minorHAnsi"/>
                  <w:sz w:val="16"/>
                  <w:szCs w:val="16"/>
                </w:rPr>
                <w:id w:val="947432129"/>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 Issues Identified</w:t>
            </w:r>
          </w:p>
          <w:p w:rsidR="00AA6EF1" w:rsidRPr="00C20E43" w:rsidRDefault="0031049E" w:rsidP="00AA6EF1">
            <w:pPr>
              <w:rPr>
                <w:rFonts w:cstheme="minorHAnsi"/>
                <w:sz w:val="16"/>
                <w:szCs w:val="16"/>
              </w:rPr>
            </w:pPr>
            <w:sdt>
              <w:sdtPr>
                <w:rPr>
                  <w:rFonts w:cstheme="minorHAnsi"/>
                  <w:sz w:val="16"/>
                  <w:szCs w:val="16"/>
                </w:rPr>
                <w:id w:val="25432942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Noted Practice </w:t>
            </w:r>
          </w:p>
          <w:p w:rsidR="00AA6EF1" w:rsidRPr="00C20E43" w:rsidRDefault="0031049E" w:rsidP="00AA6EF1">
            <w:pPr>
              <w:rPr>
                <w:rFonts w:cstheme="minorHAnsi"/>
                <w:sz w:val="16"/>
                <w:szCs w:val="16"/>
              </w:rPr>
            </w:pPr>
            <w:sdt>
              <w:sdtPr>
                <w:rPr>
                  <w:rFonts w:cstheme="minorHAnsi"/>
                  <w:sz w:val="16"/>
                  <w:szCs w:val="16"/>
                </w:rPr>
                <w:id w:val="-209185186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Item(s) to address</w:t>
            </w:r>
          </w:p>
          <w:p w:rsidR="00AA6EF1" w:rsidRPr="00C20E43" w:rsidRDefault="0031049E" w:rsidP="00AA6EF1">
            <w:pPr>
              <w:rPr>
                <w:rFonts w:cstheme="minorHAnsi"/>
                <w:sz w:val="16"/>
                <w:szCs w:val="16"/>
              </w:rPr>
            </w:pPr>
            <w:sdt>
              <w:sdtPr>
                <w:rPr>
                  <w:rFonts w:cstheme="minorHAnsi"/>
                  <w:sz w:val="16"/>
                  <w:szCs w:val="16"/>
                </w:rPr>
                <w:id w:val="-12161301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Questioned Costs</w:t>
            </w:r>
          </w:p>
          <w:p w:rsidR="00AA6EF1" w:rsidRPr="00C20E43" w:rsidRDefault="0031049E" w:rsidP="00AA6EF1">
            <w:pPr>
              <w:rPr>
                <w:rFonts w:cstheme="minorHAnsi"/>
                <w:sz w:val="16"/>
                <w:szCs w:val="16"/>
              </w:rPr>
            </w:pPr>
            <w:sdt>
              <w:sdtPr>
                <w:rPr>
                  <w:rFonts w:cstheme="minorHAnsi"/>
                  <w:sz w:val="16"/>
                  <w:szCs w:val="16"/>
                </w:rPr>
                <w:id w:val="-37377452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Disallowed Costs</w:t>
            </w:r>
          </w:p>
          <w:p w:rsidR="00AA6EF1" w:rsidRDefault="0031049E" w:rsidP="00AA6EF1">
            <w:pPr>
              <w:rPr>
                <w:rFonts w:cstheme="minorHAnsi"/>
                <w:sz w:val="16"/>
                <w:szCs w:val="16"/>
              </w:rPr>
            </w:pPr>
            <w:sdt>
              <w:sdtPr>
                <w:rPr>
                  <w:rFonts w:cstheme="minorHAnsi"/>
                  <w:sz w:val="16"/>
                  <w:szCs w:val="16"/>
                </w:rPr>
                <w:id w:val="-1771537908"/>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Pending/Additional Evidence </w:t>
            </w:r>
          </w:p>
          <w:p w:rsidR="00AA6EF1" w:rsidRPr="00C20E43" w:rsidRDefault="00AA6EF1" w:rsidP="00AA6EF1">
            <w:pPr>
              <w:rPr>
                <w:rFonts w:cstheme="minorHAnsi"/>
                <w:sz w:val="16"/>
                <w:szCs w:val="16"/>
              </w:rPr>
            </w:pPr>
            <w:r>
              <w:rPr>
                <w:rFonts w:cstheme="minorHAnsi"/>
                <w:sz w:val="16"/>
                <w:szCs w:val="16"/>
              </w:rPr>
              <w:t xml:space="preserve">     </w:t>
            </w:r>
            <w:r w:rsidRPr="00C20E43">
              <w:rPr>
                <w:rFonts w:cstheme="minorHAnsi"/>
                <w:sz w:val="16"/>
                <w:szCs w:val="16"/>
              </w:rPr>
              <w:t>Needed</w:t>
            </w:r>
          </w:p>
          <w:p w:rsidR="00AA6EF1" w:rsidRPr="00C20E43" w:rsidRDefault="0031049E" w:rsidP="00AA6EF1">
            <w:pPr>
              <w:rPr>
                <w:rFonts w:cstheme="minorHAnsi"/>
                <w:sz w:val="16"/>
                <w:szCs w:val="16"/>
              </w:rPr>
            </w:pPr>
            <w:sdt>
              <w:sdtPr>
                <w:rPr>
                  <w:rFonts w:cstheme="minorHAnsi"/>
                  <w:sz w:val="16"/>
                  <w:szCs w:val="16"/>
                </w:rPr>
                <w:id w:val="-1963023895"/>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Deficiency of Internal Controls </w:t>
            </w:r>
          </w:p>
          <w:p w:rsidR="00AA6EF1" w:rsidRPr="00C20E43" w:rsidRDefault="0031049E" w:rsidP="00AA6EF1">
            <w:pPr>
              <w:rPr>
                <w:rFonts w:cstheme="minorHAnsi"/>
                <w:sz w:val="16"/>
                <w:szCs w:val="16"/>
              </w:rPr>
            </w:pPr>
            <w:sdt>
              <w:sdtPr>
                <w:rPr>
                  <w:rFonts w:cstheme="minorHAnsi"/>
                  <w:sz w:val="16"/>
                  <w:szCs w:val="16"/>
                </w:rPr>
                <w:id w:val="-848863827"/>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Findings</w:t>
            </w:r>
          </w:p>
          <w:p w:rsidR="00AA6EF1" w:rsidRPr="00C20E43" w:rsidRDefault="0031049E" w:rsidP="00AA6EF1">
            <w:pPr>
              <w:rPr>
                <w:rFonts w:cstheme="minorHAnsi"/>
                <w:sz w:val="16"/>
                <w:szCs w:val="16"/>
              </w:rPr>
            </w:pPr>
            <w:sdt>
              <w:sdtPr>
                <w:rPr>
                  <w:rFonts w:cstheme="minorHAnsi"/>
                  <w:sz w:val="16"/>
                  <w:szCs w:val="16"/>
                </w:rPr>
                <w:id w:val="462540978"/>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N/A</w:t>
            </w:r>
          </w:p>
          <w:p w:rsidR="00D32736" w:rsidRPr="003F57E0" w:rsidRDefault="00D32736" w:rsidP="001010FC">
            <w:pPr>
              <w:ind w:left="72"/>
              <w:rPr>
                <w:rFonts w:cstheme="minorHAnsi"/>
                <w:sz w:val="16"/>
                <w:szCs w:val="16"/>
              </w:rPr>
            </w:pPr>
          </w:p>
        </w:tc>
        <w:tc>
          <w:tcPr>
            <w:tcW w:w="1980" w:type="dxa"/>
            <w:tcBorders>
              <w:top w:val="single" w:sz="4" w:space="0" w:color="auto"/>
              <w:bottom w:val="single" w:sz="4" w:space="0" w:color="auto"/>
            </w:tcBorders>
          </w:tcPr>
          <w:p w:rsidR="00D32736" w:rsidRPr="00DB4F96" w:rsidRDefault="00D32736" w:rsidP="001010FC">
            <w:pPr>
              <w:rPr>
                <w:rFonts w:eastAsia="Times New Roman" w:cstheme="minorHAnsi"/>
                <w:sz w:val="6"/>
                <w:szCs w:val="6"/>
              </w:rPr>
            </w:pPr>
          </w:p>
          <w:p w:rsidR="00D32736" w:rsidRPr="00DB4F96" w:rsidRDefault="00D32736" w:rsidP="00D32736">
            <w:pPr>
              <w:rPr>
                <w:rFonts w:eastAsia="Times New Roman" w:cstheme="minorHAnsi"/>
                <w:sz w:val="14"/>
                <w:szCs w:val="14"/>
              </w:rPr>
            </w:pPr>
          </w:p>
        </w:tc>
      </w:tr>
      <w:tr w:rsidR="004B4292" w:rsidTr="005A43FF">
        <w:tc>
          <w:tcPr>
            <w:tcW w:w="2502" w:type="dxa"/>
            <w:tcBorders>
              <w:top w:val="single" w:sz="12" w:space="0" w:color="auto"/>
              <w:bottom w:val="single" w:sz="4" w:space="0" w:color="auto"/>
            </w:tcBorders>
          </w:tcPr>
          <w:p w:rsidR="004B4292" w:rsidRPr="002E3C0E" w:rsidRDefault="004B4292" w:rsidP="004B4292">
            <w:pPr>
              <w:rPr>
                <w:rFonts w:cstheme="minorHAnsi"/>
                <w:b/>
                <w:caps/>
                <w:sz w:val="16"/>
                <w:szCs w:val="16"/>
              </w:rPr>
            </w:pPr>
            <w:r w:rsidRPr="002E3C0E">
              <w:rPr>
                <w:rFonts w:cstheme="minorHAnsi"/>
                <w:b/>
                <w:caps/>
                <w:sz w:val="16"/>
                <w:szCs w:val="16"/>
              </w:rPr>
              <w:t>Administrative Controls/</w:t>
            </w:r>
          </w:p>
          <w:p w:rsidR="004B4292" w:rsidRDefault="004B4292" w:rsidP="004B4292">
            <w:pPr>
              <w:rPr>
                <w:rFonts w:cstheme="minorHAnsi"/>
                <w:b/>
                <w:caps/>
                <w:sz w:val="16"/>
                <w:szCs w:val="16"/>
              </w:rPr>
            </w:pPr>
            <w:r w:rsidRPr="002E3C0E">
              <w:rPr>
                <w:rFonts w:cstheme="minorHAnsi"/>
                <w:b/>
                <w:caps/>
                <w:sz w:val="16"/>
                <w:szCs w:val="16"/>
              </w:rPr>
              <w:t>Monitoring</w:t>
            </w:r>
          </w:p>
          <w:p w:rsidR="004B4292" w:rsidRPr="00FF7A8D" w:rsidRDefault="004B4292" w:rsidP="004B4292">
            <w:pPr>
              <w:rPr>
                <w:rFonts w:cstheme="minorHAnsi"/>
                <w:b/>
                <w:caps/>
                <w:sz w:val="6"/>
                <w:szCs w:val="6"/>
              </w:rPr>
            </w:pPr>
          </w:p>
          <w:p w:rsidR="004B4292" w:rsidRPr="00FF7A8D" w:rsidRDefault="004B4292" w:rsidP="004B4292">
            <w:pPr>
              <w:autoSpaceDE w:val="0"/>
              <w:autoSpaceDN w:val="0"/>
              <w:adjustRightInd w:val="0"/>
              <w:rPr>
                <w:rFonts w:cstheme="minorHAnsi"/>
                <w:i/>
                <w:iCs/>
                <w:sz w:val="14"/>
                <w:szCs w:val="14"/>
              </w:rPr>
            </w:pPr>
            <w:r w:rsidRPr="00FF7A8D">
              <w:rPr>
                <w:rFonts w:cstheme="minorHAnsi"/>
                <w:sz w:val="14"/>
                <w:szCs w:val="14"/>
              </w:rPr>
              <w:t xml:space="preserve">The non-Federal entity must monitor its activities under Federal awards to assure compliance with applicable Federal requirements and performance expectations are being achieved. Monitoring by the non-Federal entity must cover each program, function or activity. See also § 200.331 requirements for pass-through </w:t>
            </w:r>
            <w:r w:rsidRPr="00FF7A8D">
              <w:rPr>
                <w:rFonts w:cstheme="minorHAnsi"/>
                <w:i/>
                <w:iCs/>
                <w:sz w:val="14"/>
                <w:szCs w:val="14"/>
              </w:rPr>
              <w:t>entities.</w:t>
            </w:r>
          </w:p>
          <w:p w:rsidR="004B4292" w:rsidRPr="002E3C0E" w:rsidRDefault="004B4292" w:rsidP="00E11FE1">
            <w:pPr>
              <w:rPr>
                <w:rFonts w:cstheme="minorHAnsi"/>
                <w:b/>
                <w:caps/>
                <w:sz w:val="16"/>
                <w:szCs w:val="16"/>
              </w:rPr>
            </w:pPr>
          </w:p>
        </w:tc>
        <w:tc>
          <w:tcPr>
            <w:tcW w:w="1260" w:type="dxa"/>
            <w:tcBorders>
              <w:top w:val="single" w:sz="12" w:space="0" w:color="auto"/>
              <w:bottom w:val="single" w:sz="4" w:space="0" w:color="auto"/>
            </w:tcBorders>
          </w:tcPr>
          <w:p w:rsidR="004B4292" w:rsidRDefault="004B4292" w:rsidP="001010FC">
            <w:pPr>
              <w:rPr>
                <w:rFonts w:cstheme="minorHAnsi"/>
                <w:b/>
                <w:sz w:val="16"/>
                <w:szCs w:val="16"/>
              </w:rPr>
            </w:pPr>
            <w:r>
              <w:rPr>
                <w:rFonts w:cstheme="minorHAnsi"/>
                <w:b/>
                <w:sz w:val="16"/>
                <w:szCs w:val="16"/>
              </w:rPr>
              <w:t>Annual Monitoring Review</w:t>
            </w:r>
          </w:p>
        </w:tc>
        <w:tc>
          <w:tcPr>
            <w:tcW w:w="3240" w:type="dxa"/>
            <w:tcBorders>
              <w:top w:val="single" w:sz="12" w:space="0" w:color="auto"/>
              <w:bottom w:val="single" w:sz="4" w:space="0" w:color="auto"/>
            </w:tcBorders>
          </w:tcPr>
          <w:p w:rsidR="004B4292" w:rsidRPr="00E11FE1" w:rsidRDefault="004B4292" w:rsidP="004B4292">
            <w:pPr>
              <w:numPr>
                <w:ilvl w:val="0"/>
                <w:numId w:val="18"/>
              </w:numPr>
              <w:autoSpaceDE w:val="0"/>
              <w:autoSpaceDN w:val="0"/>
              <w:adjustRightInd w:val="0"/>
              <w:ind w:left="147" w:hanging="180"/>
              <w:contextualSpacing/>
              <w:rPr>
                <w:rFonts w:cstheme="minorHAnsi"/>
                <w:sz w:val="16"/>
                <w:szCs w:val="16"/>
              </w:rPr>
            </w:pPr>
            <w:r w:rsidRPr="00E11FE1">
              <w:rPr>
                <w:rFonts w:cstheme="minorHAnsi"/>
                <w:sz w:val="16"/>
                <w:szCs w:val="16"/>
              </w:rPr>
              <w:t xml:space="preserve">20 CFR 200.331 </w:t>
            </w:r>
            <w:r w:rsidRPr="00E11FE1">
              <w:rPr>
                <w:rFonts w:cstheme="minorHAnsi"/>
                <w:bCs/>
                <w:sz w:val="16"/>
                <w:szCs w:val="16"/>
              </w:rPr>
              <w:t>Requirements for pass through entities</w:t>
            </w:r>
            <w:r w:rsidRPr="00E11FE1">
              <w:rPr>
                <w:rFonts w:cstheme="minorHAnsi"/>
                <w:sz w:val="16"/>
                <w:szCs w:val="16"/>
              </w:rPr>
              <w:t xml:space="preserve"> </w:t>
            </w:r>
          </w:p>
          <w:p w:rsidR="004B4292" w:rsidRDefault="004B4292" w:rsidP="004B4292">
            <w:pPr>
              <w:numPr>
                <w:ilvl w:val="0"/>
                <w:numId w:val="18"/>
              </w:numPr>
              <w:autoSpaceDE w:val="0"/>
              <w:autoSpaceDN w:val="0"/>
              <w:adjustRightInd w:val="0"/>
              <w:ind w:left="147" w:hanging="180"/>
              <w:contextualSpacing/>
              <w:rPr>
                <w:rFonts w:cstheme="minorHAnsi"/>
                <w:sz w:val="16"/>
                <w:szCs w:val="16"/>
              </w:rPr>
            </w:pPr>
            <w:r w:rsidRPr="00E11FE1">
              <w:rPr>
                <w:rFonts w:cstheme="minorHAnsi"/>
                <w:sz w:val="16"/>
                <w:szCs w:val="16"/>
              </w:rPr>
              <w:t>ESD Policy 5250</w:t>
            </w:r>
          </w:p>
          <w:p w:rsidR="004B4292" w:rsidRPr="00E11FE1" w:rsidRDefault="004B4292" w:rsidP="004B4292">
            <w:pPr>
              <w:numPr>
                <w:ilvl w:val="0"/>
                <w:numId w:val="18"/>
              </w:numPr>
              <w:autoSpaceDE w:val="0"/>
              <w:autoSpaceDN w:val="0"/>
              <w:adjustRightInd w:val="0"/>
              <w:ind w:left="147" w:hanging="180"/>
              <w:contextualSpacing/>
              <w:rPr>
                <w:rFonts w:cstheme="minorHAnsi"/>
                <w:sz w:val="16"/>
                <w:szCs w:val="16"/>
              </w:rPr>
            </w:pPr>
            <w:r>
              <w:rPr>
                <w:rFonts w:cstheme="minorHAnsi"/>
                <w:sz w:val="16"/>
                <w:szCs w:val="16"/>
              </w:rPr>
              <w:t>E</w:t>
            </w:r>
            <w:r w:rsidRPr="00E11FE1">
              <w:rPr>
                <w:rFonts w:cstheme="minorHAnsi"/>
                <w:sz w:val="16"/>
                <w:szCs w:val="16"/>
              </w:rPr>
              <w:t>SD Policy 5255</w:t>
            </w:r>
          </w:p>
        </w:tc>
        <w:tc>
          <w:tcPr>
            <w:tcW w:w="3240" w:type="dxa"/>
            <w:tcBorders>
              <w:top w:val="single" w:sz="12" w:space="0" w:color="auto"/>
              <w:bottom w:val="single" w:sz="4" w:space="0" w:color="auto"/>
            </w:tcBorders>
          </w:tcPr>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 xml:space="preserve">Verify that every </w:t>
            </w:r>
            <w:proofErr w:type="spellStart"/>
            <w:r w:rsidRPr="001010FC">
              <w:rPr>
                <w:rFonts w:cstheme="minorHAnsi"/>
                <w:sz w:val="16"/>
                <w:szCs w:val="16"/>
              </w:rPr>
              <w:t>subrecipient</w:t>
            </w:r>
            <w:proofErr w:type="spellEnd"/>
            <w:r w:rsidRPr="001010FC">
              <w:rPr>
                <w:rFonts w:cstheme="minorHAnsi"/>
                <w:sz w:val="16"/>
                <w:szCs w:val="16"/>
              </w:rPr>
              <w:t xml:space="preserve"> is monitored as required by Subpart F – Audit Requirements</w:t>
            </w:r>
          </w:p>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 xml:space="preserve">Verify that monitoring reports have been developed that meet federal requirements and have been shared with </w:t>
            </w:r>
            <w:proofErr w:type="spellStart"/>
            <w:r w:rsidRPr="001010FC">
              <w:rPr>
                <w:rFonts w:cstheme="minorHAnsi"/>
                <w:sz w:val="16"/>
                <w:szCs w:val="16"/>
              </w:rPr>
              <w:t>subrecipients</w:t>
            </w:r>
            <w:proofErr w:type="spellEnd"/>
            <w:r w:rsidRPr="001010FC">
              <w:rPr>
                <w:rFonts w:cstheme="minorHAnsi"/>
                <w:sz w:val="16"/>
                <w:szCs w:val="16"/>
              </w:rPr>
              <w:t>.</w:t>
            </w:r>
          </w:p>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Does the monitoring report include:</w:t>
            </w:r>
          </w:p>
          <w:p w:rsidR="004B4292" w:rsidRPr="001010FC" w:rsidRDefault="0031049E" w:rsidP="004B4292">
            <w:pPr>
              <w:pStyle w:val="ListParagraph"/>
              <w:autoSpaceDE w:val="0"/>
              <w:autoSpaceDN w:val="0"/>
              <w:adjustRightInd w:val="0"/>
              <w:ind w:left="504" w:hanging="252"/>
              <w:rPr>
                <w:rFonts w:cstheme="minorHAnsi"/>
                <w:sz w:val="16"/>
                <w:szCs w:val="16"/>
              </w:rPr>
            </w:pPr>
            <w:sdt>
              <w:sdtPr>
                <w:rPr>
                  <w:rFonts w:eastAsia="Times New Roman" w:cstheme="minorHAnsi"/>
                  <w:b/>
                  <w:sz w:val="16"/>
                  <w:szCs w:val="16"/>
                </w:rPr>
                <w:id w:val="274445486"/>
                <w14:checkbox>
                  <w14:checked w14:val="0"/>
                  <w14:checkedState w14:val="2612" w14:font="MS Gothic"/>
                  <w14:uncheckedState w14:val="2610" w14:font="MS Gothic"/>
                </w14:checkbox>
              </w:sdtPr>
              <w:sdtEndPr/>
              <w:sdtContent>
                <w:r w:rsidR="004B4292" w:rsidRPr="001010FC">
                  <w:rPr>
                    <w:rFonts w:ascii="Segoe UI Symbol" w:eastAsia="MS Gothic" w:hAnsi="Segoe UI Symbol" w:cs="Segoe UI Symbol"/>
                    <w:b/>
                    <w:sz w:val="16"/>
                    <w:szCs w:val="16"/>
                  </w:rPr>
                  <w:t>☐</w:t>
                </w:r>
              </w:sdtContent>
            </w:sdt>
            <w:r w:rsidR="004B4292" w:rsidRPr="001010FC">
              <w:rPr>
                <w:rFonts w:cstheme="minorHAnsi"/>
                <w:sz w:val="16"/>
                <w:szCs w:val="16"/>
              </w:rPr>
              <w:t xml:space="preserve"> Follow up on issues found out of compliance</w:t>
            </w:r>
          </w:p>
          <w:p w:rsidR="004B4292" w:rsidRPr="001010FC" w:rsidRDefault="0031049E" w:rsidP="004B4292">
            <w:pPr>
              <w:pStyle w:val="Calibri"/>
              <w:tabs>
                <w:tab w:val="right" w:pos="3181"/>
              </w:tabs>
              <w:ind w:left="504" w:hanging="252"/>
              <w:rPr>
                <w:rFonts w:cstheme="minorHAnsi"/>
                <w:b w:val="0"/>
                <w:sz w:val="16"/>
                <w:szCs w:val="16"/>
              </w:rPr>
            </w:pPr>
            <w:sdt>
              <w:sdtPr>
                <w:rPr>
                  <w:rFonts w:eastAsia="Times New Roman" w:cstheme="minorHAnsi"/>
                  <w:sz w:val="16"/>
                  <w:szCs w:val="16"/>
                </w:rPr>
                <w:id w:val="-691614683"/>
                <w14:checkbox>
                  <w14:checked w14:val="0"/>
                  <w14:checkedState w14:val="2612" w14:font="MS Gothic"/>
                  <w14:uncheckedState w14:val="2610" w14:font="MS Gothic"/>
                </w14:checkbox>
              </w:sdtPr>
              <w:sdtEndPr/>
              <w:sdtContent>
                <w:r w:rsidR="004B4292">
                  <w:rPr>
                    <w:rFonts w:ascii="MS Gothic" w:eastAsia="MS Gothic" w:hAnsi="MS Gothic" w:cstheme="minorHAnsi" w:hint="eastAsia"/>
                    <w:sz w:val="16"/>
                    <w:szCs w:val="16"/>
                  </w:rPr>
                  <w:t>☐</w:t>
                </w:r>
              </w:sdtContent>
            </w:sdt>
            <w:r w:rsidR="004B4292" w:rsidRPr="001010FC">
              <w:rPr>
                <w:rFonts w:cstheme="minorHAnsi"/>
                <w:b w:val="0"/>
                <w:sz w:val="16"/>
                <w:szCs w:val="16"/>
              </w:rPr>
              <w:t xml:space="preserve"> Required corrective action plan if</w:t>
            </w:r>
            <w:r w:rsidR="004B4292" w:rsidRPr="001010FC">
              <w:rPr>
                <w:rFonts w:cstheme="minorHAnsi"/>
                <w:sz w:val="16"/>
                <w:szCs w:val="16"/>
              </w:rPr>
              <w:t xml:space="preserve"> </w:t>
            </w:r>
            <w:r w:rsidR="004B4292" w:rsidRPr="001010FC">
              <w:rPr>
                <w:rFonts w:cstheme="minorHAnsi"/>
                <w:b w:val="0"/>
                <w:sz w:val="16"/>
                <w:szCs w:val="16"/>
              </w:rPr>
              <w:t>necessary</w:t>
            </w:r>
          </w:p>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Does the LWDB have a copy of monitoring to</w:t>
            </w:r>
            <w:r>
              <w:rPr>
                <w:rFonts w:cstheme="minorHAnsi"/>
                <w:sz w:val="16"/>
                <w:szCs w:val="16"/>
              </w:rPr>
              <w:t>ol for RRIE</w:t>
            </w:r>
          </w:p>
        </w:tc>
        <w:tc>
          <w:tcPr>
            <w:tcW w:w="2700" w:type="dxa"/>
            <w:tcBorders>
              <w:bottom w:val="single" w:sz="4" w:space="0" w:color="auto"/>
            </w:tcBorders>
          </w:tcPr>
          <w:p w:rsidR="004B4292" w:rsidRPr="00D1619C" w:rsidRDefault="004B4292" w:rsidP="004B4292">
            <w:pPr>
              <w:rPr>
                <w:rFonts w:cstheme="minorHAnsi"/>
                <w:b/>
                <w:sz w:val="16"/>
                <w:szCs w:val="16"/>
              </w:rPr>
            </w:pPr>
            <w:r w:rsidRPr="00D1619C">
              <w:rPr>
                <w:rFonts w:cstheme="minorHAnsi"/>
                <w:b/>
                <w:sz w:val="16"/>
                <w:szCs w:val="16"/>
              </w:rPr>
              <w:t>Monitoring annually</w:t>
            </w:r>
            <w:r>
              <w:rPr>
                <w:rFonts w:cstheme="minorHAnsi"/>
                <w:b/>
                <w:sz w:val="16"/>
                <w:szCs w:val="16"/>
              </w:rPr>
              <w:t>:</w:t>
            </w:r>
          </w:p>
          <w:p w:rsidR="004B4292" w:rsidRPr="00645F5F" w:rsidRDefault="004B4292" w:rsidP="004B4292">
            <w:pPr>
              <w:rPr>
                <w:rFonts w:cstheme="minorHAnsi"/>
                <w:sz w:val="6"/>
                <w:szCs w:val="6"/>
              </w:rPr>
            </w:pPr>
          </w:p>
          <w:p w:rsidR="004B4292" w:rsidRPr="00C20E43" w:rsidRDefault="0031049E" w:rsidP="004B4292">
            <w:pPr>
              <w:rPr>
                <w:rFonts w:cstheme="minorHAnsi"/>
                <w:sz w:val="16"/>
                <w:szCs w:val="16"/>
              </w:rPr>
            </w:pPr>
            <w:sdt>
              <w:sdtPr>
                <w:rPr>
                  <w:rFonts w:cstheme="minorHAnsi"/>
                  <w:sz w:val="16"/>
                  <w:szCs w:val="16"/>
                </w:rPr>
                <w:id w:val="1150791467"/>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No Issues Identified</w:t>
            </w:r>
          </w:p>
          <w:p w:rsidR="004B4292" w:rsidRPr="00C20E43" w:rsidRDefault="0031049E" w:rsidP="004B4292">
            <w:pPr>
              <w:rPr>
                <w:rFonts w:cstheme="minorHAnsi"/>
                <w:sz w:val="16"/>
                <w:szCs w:val="16"/>
              </w:rPr>
            </w:pPr>
            <w:sdt>
              <w:sdtPr>
                <w:rPr>
                  <w:rFonts w:cstheme="minorHAnsi"/>
                  <w:sz w:val="16"/>
                  <w:szCs w:val="16"/>
                </w:rPr>
                <w:id w:val="1824304856"/>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Noted Practice </w:t>
            </w:r>
          </w:p>
          <w:p w:rsidR="004B4292" w:rsidRPr="00C20E43" w:rsidRDefault="0031049E" w:rsidP="004B4292">
            <w:pPr>
              <w:rPr>
                <w:rFonts w:cstheme="minorHAnsi"/>
                <w:sz w:val="16"/>
                <w:szCs w:val="16"/>
              </w:rPr>
            </w:pPr>
            <w:sdt>
              <w:sdtPr>
                <w:rPr>
                  <w:rFonts w:cstheme="minorHAnsi"/>
                  <w:sz w:val="16"/>
                  <w:szCs w:val="16"/>
                </w:rPr>
                <w:id w:val="-48385636"/>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Item(s) to address</w:t>
            </w:r>
          </w:p>
          <w:p w:rsidR="004B4292" w:rsidRPr="00C20E43" w:rsidRDefault="0031049E" w:rsidP="004B4292">
            <w:pPr>
              <w:rPr>
                <w:rFonts w:cstheme="minorHAnsi"/>
                <w:sz w:val="16"/>
                <w:szCs w:val="16"/>
              </w:rPr>
            </w:pPr>
            <w:sdt>
              <w:sdtPr>
                <w:rPr>
                  <w:rFonts w:cstheme="minorHAnsi"/>
                  <w:sz w:val="16"/>
                  <w:szCs w:val="16"/>
                </w:rPr>
                <w:id w:val="307819835"/>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Questioned Costs</w:t>
            </w:r>
          </w:p>
          <w:p w:rsidR="004B4292" w:rsidRPr="00C20E43" w:rsidRDefault="0031049E" w:rsidP="004B4292">
            <w:pPr>
              <w:rPr>
                <w:rFonts w:cstheme="minorHAnsi"/>
                <w:sz w:val="16"/>
                <w:szCs w:val="16"/>
              </w:rPr>
            </w:pPr>
            <w:sdt>
              <w:sdtPr>
                <w:rPr>
                  <w:rFonts w:cstheme="minorHAnsi"/>
                  <w:sz w:val="16"/>
                  <w:szCs w:val="16"/>
                </w:rPr>
                <w:id w:val="1001550961"/>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Disallowed Costs</w:t>
            </w:r>
          </w:p>
          <w:p w:rsidR="004B4292" w:rsidRDefault="0031049E" w:rsidP="004B4292">
            <w:pPr>
              <w:rPr>
                <w:rFonts w:cstheme="minorHAnsi"/>
                <w:sz w:val="16"/>
                <w:szCs w:val="16"/>
              </w:rPr>
            </w:pPr>
            <w:sdt>
              <w:sdtPr>
                <w:rPr>
                  <w:rFonts w:cstheme="minorHAnsi"/>
                  <w:sz w:val="16"/>
                  <w:szCs w:val="16"/>
                </w:rPr>
                <w:id w:val="-2144644727"/>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Pending/Additional Evidence </w:t>
            </w:r>
          </w:p>
          <w:p w:rsidR="004B4292" w:rsidRPr="00C20E43" w:rsidRDefault="004B4292" w:rsidP="004B4292">
            <w:pPr>
              <w:rPr>
                <w:rFonts w:cstheme="minorHAnsi"/>
                <w:sz w:val="16"/>
                <w:szCs w:val="16"/>
              </w:rPr>
            </w:pPr>
            <w:r>
              <w:rPr>
                <w:rFonts w:cstheme="minorHAnsi"/>
                <w:sz w:val="16"/>
                <w:szCs w:val="16"/>
              </w:rPr>
              <w:t xml:space="preserve">     </w:t>
            </w:r>
            <w:r w:rsidRPr="00C20E43">
              <w:rPr>
                <w:rFonts w:cstheme="minorHAnsi"/>
                <w:sz w:val="16"/>
                <w:szCs w:val="16"/>
              </w:rPr>
              <w:t>Needed</w:t>
            </w:r>
          </w:p>
          <w:p w:rsidR="004B4292" w:rsidRPr="00C20E43" w:rsidRDefault="0031049E" w:rsidP="004B4292">
            <w:pPr>
              <w:rPr>
                <w:rFonts w:cstheme="minorHAnsi"/>
                <w:sz w:val="16"/>
                <w:szCs w:val="16"/>
              </w:rPr>
            </w:pPr>
            <w:sdt>
              <w:sdtPr>
                <w:rPr>
                  <w:rFonts w:cstheme="minorHAnsi"/>
                  <w:sz w:val="16"/>
                  <w:szCs w:val="16"/>
                </w:rPr>
                <w:id w:val="1154643388"/>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Deficiency of Internal Controls </w:t>
            </w:r>
          </w:p>
          <w:p w:rsidR="004B4292" w:rsidRPr="00C20E43" w:rsidRDefault="0031049E" w:rsidP="004B4292">
            <w:pPr>
              <w:rPr>
                <w:rFonts w:cstheme="minorHAnsi"/>
                <w:sz w:val="16"/>
                <w:szCs w:val="16"/>
              </w:rPr>
            </w:pPr>
            <w:sdt>
              <w:sdtPr>
                <w:rPr>
                  <w:rFonts w:cstheme="minorHAnsi"/>
                  <w:sz w:val="16"/>
                  <w:szCs w:val="16"/>
                </w:rPr>
                <w:id w:val="368658194"/>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Findings</w:t>
            </w:r>
          </w:p>
          <w:p w:rsidR="004B4292" w:rsidRDefault="0031049E" w:rsidP="004B4292">
            <w:pPr>
              <w:rPr>
                <w:rFonts w:cstheme="minorHAnsi"/>
                <w:sz w:val="16"/>
                <w:szCs w:val="16"/>
              </w:rPr>
            </w:pPr>
            <w:sdt>
              <w:sdtPr>
                <w:rPr>
                  <w:rFonts w:cstheme="minorHAnsi"/>
                  <w:sz w:val="16"/>
                  <w:szCs w:val="16"/>
                </w:rPr>
                <w:id w:val="-897132886"/>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N/A</w:t>
            </w:r>
          </w:p>
          <w:p w:rsidR="004B4292" w:rsidRDefault="004B4292" w:rsidP="004B4292">
            <w:pPr>
              <w:rPr>
                <w:rFonts w:cstheme="minorHAnsi"/>
                <w:sz w:val="16"/>
                <w:szCs w:val="16"/>
              </w:rPr>
            </w:pPr>
          </w:p>
          <w:p w:rsidR="004B4292" w:rsidRPr="00D1619C" w:rsidRDefault="004B4292" w:rsidP="004B4292">
            <w:pPr>
              <w:rPr>
                <w:rFonts w:cstheme="minorHAnsi"/>
                <w:b/>
                <w:sz w:val="16"/>
                <w:szCs w:val="16"/>
              </w:rPr>
            </w:pPr>
          </w:p>
        </w:tc>
        <w:tc>
          <w:tcPr>
            <w:tcW w:w="1980" w:type="dxa"/>
            <w:tcBorders>
              <w:top w:val="single" w:sz="4" w:space="0" w:color="auto"/>
              <w:bottom w:val="single" w:sz="4" w:space="0" w:color="auto"/>
            </w:tcBorders>
          </w:tcPr>
          <w:p w:rsidR="004B4292" w:rsidRPr="00DB4F96" w:rsidRDefault="004B4292" w:rsidP="001010FC">
            <w:pPr>
              <w:rPr>
                <w:rFonts w:eastAsia="Times New Roman" w:cstheme="minorHAnsi"/>
                <w:sz w:val="6"/>
                <w:szCs w:val="6"/>
              </w:rPr>
            </w:pPr>
          </w:p>
        </w:tc>
      </w:tr>
      <w:tr w:rsidR="004F367B" w:rsidTr="005A43FF">
        <w:tc>
          <w:tcPr>
            <w:tcW w:w="2502" w:type="dxa"/>
            <w:tcBorders>
              <w:top w:val="single" w:sz="4" w:space="0" w:color="auto"/>
              <w:bottom w:val="single" w:sz="4" w:space="0" w:color="auto"/>
            </w:tcBorders>
            <w:shd w:val="clear" w:color="auto" w:fill="auto"/>
          </w:tcPr>
          <w:p w:rsidR="00AA6EF1" w:rsidRDefault="00AA6EF1" w:rsidP="00AA6EF1">
            <w:pPr>
              <w:contextualSpacing/>
              <w:rPr>
                <w:rFonts w:cstheme="minorHAnsi"/>
                <w:b/>
                <w:caps/>
                <w:sz w:val="16"/>
                <w:szCs w:val="16"/>
              </w:rPr>
            </w:pPr>
            <w:r>
              <w:rPr>
                <w:rFonts w:cstheme="minorHAnsi"/>
                <w:b/>
                <w:caps/>
                <w:sz w:val="16"/>
                <w:szCs w:val="16"/>
              </w:rPr>
              <w:lastRenderedPageBreak/>
              <w:t>Procuremetns &amp; contracts</w:t>
            </w:r>
          </w:p>
          <w:p w:rsidR="00AA6EF1" w:rsidRPr="00FF7A8D" w:rsidRDefault="00AA6EF1" w:rsidP="00AA6EF1">
            <w:pPr>
              <w:contextualSpacing/>
              <w:rPr>
                <w:rFonts w:cstheme="minorHAnsi"/>
                <w:b/>
                <w:caps/>
                <w:sz w:val="6"/>
                <w:szCs w:val="6"/>
              </w:rPr>
            </w:pPr>
          </w:p>
          <w:p w:rsidR="00AA6EF1" w:rsidRPr="00FF7A8D" w:rsidRDefault="00AA6EF1" w:rsidP="00AA6EF1">
            <w:pPr>
              <w:rPr>
                <w:rFonts w:cstheme="minorHAnsi"/>
                <w:i/>
                <w:sz w:val="12"/>
                <w:szCs w:val="12"/>
              </w:rPr>
            </w:pPr>
            <w:r w:rsidRPr="00FF7A8D">
              <w:rPr>
                <w:rFonts w:cstheme="minorHAnsi"/>
                <w:i/>
                <w:sz w:val="12"/>
                <w:szCs w:val="12"/>
              </w:rPr>
              <w:t xml:space="preserve">Federal purchases that require a competitive process must comply with the more restrictive of federal / state requirements and LWDB policy. </w:t>
            </w:r>
          </w:p>
          <w:p w:rsidR="00AA6EF1" w:rsidRPr="00FF7A8D" w:rsidRDefault="00AA6EF1" w:rsidP="00AA6EF1">
            <w:pPr>
              <w:rPr>
                <w:rFonts w:cstheme="minorHAnsi"/>
                <w:i/>
                <w:sz w:val="12"/>
                <w:szCs w:val="12"/>
              </w:rPr>
            </w:pPr>
            <w:r w:rsidRPr="00FF7A8D">
              <w:rPr>
                <w:rFonts w:cstheme="minorHAnsi"/>
                <w:i/>
                <w:sz w:val="12"/>
                <w:szCs w:val="12"/>
              </w:rPr>
              <w:t>2 CFR Sec. 200.67, 2 CFR Sec. 200.317-326</w:t>
            </w:r>
          </w:p>
          <w:p w:rsidR="00AA6EF1" w:rsidRPr="00FF7A8D" w:rsidRDefault="00AA6EF1" w:rsidP="00AA6EF1">
            <w:pPr>
              <w:rPr>
                <w:rFonts w:cstheme="minorHAnsi"/>
                <w:sz w:val="12"/>
                <w:szCs w:val="12"/>
              </w:rPr>
            </w:pPr>
            <w:r w:rsidRPr="00FF7A8D">
              <w:rPr>
                <w:rFonts w:cstheme="minorHAnsi"/>
                <w:b/>
                <w:sz w:val="12"/>
                <w:szCs w:val="12"/>
              </w:rPr>
              <w:t>2 CFR 200.318</w:t>
            </w:r>
            <w:r w:rsidRPr="00FF7A8D">
              <w:rPr>
                <w:rFonts w:cstheme="minorHAnsi"/>
                <w:sz w:val="12"/>
                <w:szCs w:val="12"/>
              </w:rPr>
              <w:t xml:space="preserve"> - Non-Federal entities must maintain records  sufficient to detail the history of procurement</w:t>
            </w:r>
          </w:p>
          <w:p w:rsidR="00AA6EF1" w:rsidRPr="00FF7A8D" w:rsidRDefault="00AA6EF1" w:rsidP="00AA6EF1">
            <w:pPr>
              <w:rPr>
                <w:rFonts w:cstheme="minorHAnsi"/>
                <w:sz w:val="12"/>
                <w:szCs w:val="12"/>
              </w:rPr>
            </w:pPr>
            <w:r w:rsidRPr="00FF7A8D">
              <w:rPr>
                <w:rFonts w:cstheme="minorHAnsi"/>
                <w:sz w:val="12"/>
                <w:szCs w:val="12"/>
              </w:rPr>
              <w:t>Records include, but not limited to the following:</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Rationale for the method of procurement;</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Selection of contract type;</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Contractor selection or rejection; and</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The basis for the contract price.</w:t>
            </w:r>
          </w:p>
          <w:p w:rsidR="00AA6EF1" w:rsidRDefault="00AA6EF1" w:rsidP="00AA6EF1">
            <w:pPr>
              <w:pStyle w:val="NormalWeb"/>
              <w:spacing w:before="0" w:beforeAutospacing="0" w:after="0" w:afterAutospacing="0"/>
              <w:contextualSpacing/>
              <w:rPr>
                <w:rFonts w:asciiTheme="minorHAnsi" w:hAnsiTheme="minorHAnsi" w:cstheme="minorHAnsi"/>
                <w:sz w:val="12"/>
                <w:szCs w:val="12"/>
              </w:rPr>
            </w:pPr>
            <w:r w:rsidRPr="00FF7A8D">
              <w:rPr>
                <w:rFonts w:asciiTheme="minorHAnsi" w:hAnsiTheme="minorHAnsi" w:cstheme="minorHAnsi"/>
                <w:b/>
                <w:sz w:val="12"/>
                <w:szCs w:val="12"/>
              </w:rPr>
              <w:t>2 CFR 200.319 -</w:t>
            </w:r>
            <w:r w:rsidRPr="00FF7A8D">
              <w:rPr>
                <w:rFonts w:asciiTheme="minorHAnsi" w:hAnsiTheme="minorHAnsi" w:cstheme="minorHAnsi"/>
                <w:sz w:val="12"/>
                <w:szCs w:val="12"/>
              </w:rPr>
              <w:t xml:space="preserve">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rsidR="00AA6EF1" w:rsidRPr="00FF7A8D" w:rsidRDefault="00AA6EF1" w:rsidP="00AA6EF1">
            <w:pPr>
              <w:pStyle w:val="NormalWeb"/>
              <w:spacing w:before="0" w:beforeAutospacing="0" w:after="0" w:afterAutospacing="0"/>
              <w:contextualSpacing/>
              <w:rPr>
                <w:rFonts w:cstheme="minorHAnsi"/>
                <w:sz w:val="12"/>
                <w:szCs w:val="12"/>
              </w:rPr>
            </w:pPr>
            <w:r w:rsidRPr="00FF7A8D">
              <w:rPr>
                <w:rFonts w:cstheme="minorHAnsi"/>
                <w:sz w:val="12"/>
                <w:szCs w:val="12"/>
              </w:rPr>
              <w:t>(1) Placing unreasonable requirements on firms in order for them to qualify to do business;</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(2) Requiring unnecessary experience and excessive bonding;</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(3) Noncompetitive pricing practices between firms or between affiliated companies;</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(4) Noncompetitive contracts to consultants that are on retainer contracts;</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(5) Organizational conflicts of interest;</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(6) Specifying only a “brand name” product instead of allowing “an equal” product to be offered and describing the performance or other relevant requirements of the procurement; and</w:t>
            </w:r>
          </w:p>
          <w:p w:rsidR="00AA6EF1" w:rsidRPr="00FF7A8D" w:rsidRDefault="00AA6EF1" w:rsidP="00AA6EF1">
            <w:pPr>
              <w:contextualSpacing/>
              <w:rPr>
                <w:rFonts w:cstheme="minorHAnsi"/>
                <w:sz w:val="12"/>
                <w:szCs w:val="12"/>
              </w:rPr>
            </w:pPr>
            <w:r w:rsidRPr="00FF7A8D">
              <w:rPr>
                <w:rFonts w:eastAsia="Times New Roman" w:cstheme="minorHAnsi"/>
                <w:sz w:val="12"/>
                <w:szCs w:val="12"/>
              </w:rPr>
              <w:t>(7) Any arbitrary action in the procurement process</w:t>
            </w:r>
          </w:p>
          <w:p w:rsidR="004F367B" w:rsidRPr="00E24128" w:rsidRDefault="00AA6EF1" w:rsidP="005A43FF">
            <w:pPr>
              <w:rPr>
                <w:rFonts w:cstheme="minorHAnsi"/>
                <w:b/>
                <w:sz w:val="16"/>
                <w:szCs w:val="16"/>
              </w:rPr>
            </w:pPr>
            <w:r w:rsidRPr="00FF7A8D">
              <w:rPr>
                <w:rFonts w:cstheme="minorHAnsi"/>
                <w:i/>
                <w:sz w:val="12"/>
                <w:szCs w:val="12"/>
              </w:rPr>
              <w:t xml:space="preserve">LWDBs need to look at suspension and debarment on every procurement. The LWDBs </w:t>
            </w:r>
            <w:r w:rsidRPr="00FF7A8D">
              <w:rPr>
                <w:rFonts w:cstheme="minorHAnsi"/>
                <w:i/>
                <w:sz w:val="12"/>
                <w:szCs w:val="12"/>
              </w:rPr>
              <w:lastRenderedPageBreak/>
              <w:t>policy must be in compliance with suspension and debarment as outlined in 2 CFR 200.213.</w:t>
            </w:r>
          </w:p>
        </w:tc>
        <w:tc>
          <w:tcPr>
            <w:tcW w:w="1260" w:type="dxa"/>
            <w:tcBorders>
              <w:top w:val="single" w:sz="4" w:space="0" w:color="auto"/>
              <w:bottom w:val="single" w:sz="4" w:space="0" w:color="auto"/>
            </w:tcBorders>
            <w:shd w:val="clear" w:color="auto" w:fill="auto"/>
          </w:tcPr>
          <w:p w:rsidR="004F367B" w:rsidRPr="00D814D6" w:rsidRDefault="004F367B" w:rsidP="004F367B">
            <w:pPr>
              <w:rPr>
                <w:rFonts w:cstheme="minorHAnsi"/>
                <w:b/>
                <w:sz w:val="16"/>
                <w:szCs w:val="16"/>
              </w:rPr>
            </w:pPr>
            <w:r>
              <w:rPr>
                <w:rFonts w:cstheme="minorHAnsi"/>
                <w:b/>
                <w:sz w:val="16"/>
                <w:szCs w:val="16"/>
              </w:rPr>
              <w:lastRenderedPageBreak/>
              <w:t>Annual Monitoring Review</w:t>
            </w:r>
          </w:p>
        </w:tc>
        <w:tc>
          <w:tcPr>
            <w:tcW w:w="3240" w:type="dxa"/>
            <w:tcBorders>
              <w:top w:val="single" w:sz="4" w:space="0" w:color="auto"/>
              <w:bottom w:val="single" w:sz="4" w:space="0" w:color="auto"/>
            </w:tcBorders>
            <w:shd w:val="clear" w:color="auto" w:fill="auto"/>
          </w:tcPr>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200.213-Suspension and Debarment</w:t>
            </w:r>
          </w:p>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200.92-Subaward</w:t>
            </w:r>
          </w:p>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200.318</w:t>
            </w:r>
          </w:p>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200.319</w:t>
            </w:r>
          </w:p>
          <w:p w:rsidR="004F367B" w:rsidRPr="00D814D6" w:rsidRDefault="004B4292" w:rsidP="004B4292">
            <w:pPr>
              <w:pStyle w:val="ListParagraph"/>
              <w:ind w:left="252"/>
              <w:rPr>
                <w:rFonts w:cstheme="minorHAnsi"/>
                <w:sz w:val="16"/>
                <w:szCs w:val="16"/>
              </w:rPr>
            </w:pPr>
            <w:r w:rsidRPr="00ED30DD">
              <w:rPr>
                <w:rFonts w:cstheme="minorHAnsi"/>
                <w:sz w:val="16"/>
                <w:szCs w:val="16"/>
              </w:rPr>
              <w:t>2 CFR 200.323-Contrac</w:t>
            </w:r>
            <w:r>
              <w:rPr>
                <w:rFonts w:cstheme="minorHAnsi"/>
                <w:sz w:val="16"/>
                <w:szCs w:val="16"/>
              </w:rPr>
              <w:t>t</w:t>
            </w:r>
            <w:r w:rsidRPr="00ED30DD">
              <w:rPr>
                <w:rFonts w:cstheme="minorHAnsi"/>
                <w:sz w:val="16"/>
                <w:szCs w:val="16"/>
              </w:rPr>
              <w:t xml:space="preserve"> Cost and Price Analysis</w:t>
            </w:r>
          </w:p>
        </w:tc>
        <w:tc>
          <w:tcPr>
            <w:tcW w:w="3240" w:type="dxa"/>
            <w:tcBorders>
              <w:top w:val="single" w:sz="4" w:space="0" w:color="auto"/>
              <w:bottom w:val="single" w:sz="4" w:space="0" w:color="auto"/>
            </w:tcBorders>
            <w:shd w:val="clear" w:color="auto" w:fill="auto"/>
          </w:tcPr>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Did the LWDB follow its procedures for proposal evaluation and procurement procedure as specified in its written procurement procedures?</w:t>
            </w:r>
          </w:p>
          <w:p w:rsidR="004B4292" w:rsidRPr="00ED30DD" w:rsidRDefault="004B4292" w:rsidP="004B4292">
            <w:pPr>
              <w:autoSpaceDE w:val="0"/>
              <w:autoSpaceDN w:val="0"/>
              <w:adjustRightInd w:val="0"/>
              <w:ind w:left="162"/>
              <w:rPr>
                <w:rFonts w:cstheme="minorHAnsi"/>
                <w:sz w:val="16"/>
                <w:szCs w:val="16"/>
              </w:rPr>
            </w:pPr>
            <w:r w:rsidRPr="00ED30DD">
              <w:rPr>
                <w:rFonts w:cstheme="minorHAnsi"/>
                <w:sz w:val="16"/>
                <w:szCs w:val="16"/>
              </w:rPr>
              <w:t xml:space="preserve"> </w:t>
            </w:r>
            <w:sdt>
              <w:sdtPr>
                <w:rPr>
                  <w:rFonts w:eastAsia="MS Gothic" w:cstheme="minorHAnsi"/>
                  <w:b/>
                  <w:sz w:val="16"/>
                  <w:szCs w:val="16"/>
                </w:rPr>
                <w:id w:val="-1366204539"/>
                <w14:checkbox>
                  <w14:checked w14:val="0"/>
                  <w14:checkedState w14:val="2612" w14:font="MS Gothic"/>
                  <w14:uncheckedState w14:val="2610" w14:font="MS Gothic"/>
                </w14:checkbox>
              </w:sdtPr>
              <w:sdtEndPr/>
              <w:sdtContent>
                <w:r>
                  <w:rPr>
                    <w:rFonts w:ascii="MS Gothic" w:eastAsia="MS Gothic" w:hAnsi="MS Gothic" w:cstheme="minorHAnsi" w:hint="eastAsia"/>
                    <w:b/>
                    <w:sz w:val="16"/>
                    <w:szCs w:val="16"/>
                  </w:rPr>
                  <w:t>☐</w:t>
                </w:r>
              </w:sdtContent>
            </w:sdt>
            <w:r w:rsidRPr="00ED30DD">
              <w:rPr>
                <w:rFonts w:eastAsia="Times New Roman" w:cstheme="minorHAnsi"/>
                <w:sz w:val="16"/>
                <w:szCs w:val="16"/>
              </w:rPr>
              <w:t xml:space="preserve"> Yes</w:t>
            </w:r>
            <w:r w:rsidRPr="00ED30DD">
              <w:rPr>
                <w:rFonts w:eastAsia="MS Gothic" w:cstheme="minorHAnsi"/>
                <w:sz w:val="16"/>
                <w:szCs w:val="16"/>
              </w:rPr>
              <w:t xml:space="preserve"> </w:t>
            </w:r>
            <w:sdt>
              <w:sdtPr>
                <w:rPr>
                  <w:rFonts w:eastAsia="MS Gothic" w:cstheme="minorHAnsi"/>
                  <w:b/>
                  <w:sz w:val="16"/>
                  <w:szCs w:val="16"/>
                </w:rPr>
                <w:id w:val="-727298190"/>
                <w14:checkbox>
                  <w14:checked w14:val="0"/>
                  <w14:checkedState w14:val="2612" w14:font="MS Gothic"/>
                  <w14:uncheckedState w14:val="2610" w14:font="MS Gothic"/>
                </w14:checkbox>
              </w:sdtPr>
              <w:sdtEndPr/>
              <w:sdtContent>
                <w:r>
                  <w:rPr>
                    <w:rFonts w:ascii="MS Gothic" w:eastAsia="MS Gothic" w:hAnsi="MS Gothic" w:cstheme="minorHAnsi" w:hint="eastAsia"/>
                    <w:b/>
                    <w:sz w:val="16"/>
                    <w:szCs w:val="16"/>
                  </w:rPr>
                  <w:t>☐</w:t>
                </w:r>
              </w:sdtContent>
            </w:sdt>
            <w:r w:rsidRPr="00ED30DD">
              <w:rPr>
                <w:rFonts w:eastAsia="Times New Roman" w:cstheme="minorHAnsi"/>
                <w:sz w:val="16"/>
                <w:szCs w:val="16"/>
              </w:rPr>
              <w:t xml:space="preserve"> No</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The LWDB has adequate and appropriate records maintained throughout the procurement process and provides sufficient information to enable an audit or independent review</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Appropriate procedures are in place to ensure that contractors submitting the RFP/RFQ/etc., are dealt with fairly and equitably during the quotation process</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 xml:space="preserve">Documentation showing that the specification does not restrict competition, reflect bias to any brand, or act as a barrier to the consideration of any alternatives. </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The solicitation process and notices must include specific closing time, date and place of delivery.</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LWDB maintains records that detail the history of procurement.  At a minimum includes the following:</w:t>
            </w:r>
          </w:p>
          <w:p w:rsidR="004F367B" w:rsidRPr="001010FC" w:rsidRDefault="004F367B" w:rsidP="00E11FE1">
            <w:pPr>
              <w:rPr>
                <w:rFonts w:cstheme="minorHAnsi"/>
                <w:b/>
                <w:sz w:val="16"/>
                <w:szCs w:val="16"/>
              </w:rPr>
            </w:pPr>
          </w:p>
        </w:tc>
        <w:tc>
          <w:tcPr>
            <w:tcW w:w="2700" w:type="dxa"/>
            <w:shd w:val="clear" w:color="auto" w:fill="auto"/>
          </w:tcPr>
          <w:p w:rsidR="00AA6EF1" w:rsidRPr="00D1619C" w:rsidRDefault="00AA6EF1" w:rsidP="00AA6EF1">
            <w:pPr>
              <w:rPr>
                <w:rFonts w:cstheme="minorHAnsi"/>
                <w:b/>
                <w:sz w:val="16"/>
                <w:szCs w:val="16"/>
              </w:rPr>
            </w:pPr>
            <w:r w:rsidRPr="00D1619C">
              <w:rPr>
                <w:rFonts w:cstheme="minorHAnsi"/>
                <w:b/>
                <w:sz w:val="16"/>
                <w:szCs w:val="16"/>
              </w:rPr>
              <w:t>Monitoring annually</w:t>
            </w:r>
            <w:r>
              <w:rPr>
                <w:rFonts w:cstheme="minorHAnsi"/>
                <w:b/>
                <w:sz w:val="16"/>
                <w:szCs w:val="16"/>
              </w:rPr>
              <w:t>:</w:t>
            </w:r>
          </w:p>
          <w:p w:rsidR="00AA6EF1" w:rsidRPr="00645F5F" w:rsidRDefault="00AA6EF1" w:rsidP="00AA6EF1">
            <w:pPr>
              <w:rPr>
                <w:rFonts w:cstheme="minorHAnsi"/>
                <w:sz w:val="6"/>
                <w:szCs w:val="6"/>
              </w:rPr>
            </w:pPr>
          </w:p>
          <w:p w:rsidR="00AA6EF1" w:rsidRPr="00C20E43" w:rsidRDefault="0031049E" w:rsidP="00AA6EF1">
            <w:pPr>
              <w:rPr>
                <w:rFonts w:cstheme="minorHAnsi"/>
                <w:sz w:val="16"/>
                <w:szCs w:val="16"/>
              </w:rPr>
            </w:pPr>
            <w:sdt>
              <w:sdtPr>
                <w:rPr>
                  <w:rFonts w:cstheme="minorHAnsi"/>
                  <w:sz w:val="16"/>
                  <w:szCs w:val="16"/>
                </w:rPr>
                <w:id w:val="-122599434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 Issues Identified</w:t>
            </w:r>
          </w:p>
          <w:p w:rsidR="00AA6EF1" w:rsidRPr="00C20E43" w:rsidRDefault="0031049E" w:rsidP="00AA6EF1">
            <w:pPr>
              <w:rPr>
                <w:rFonts w:cstheme="minorHAnsi"/>
                <w:sz w:val="16"/>
                <w:szCs w:val="16"/>
              </w:rPr>
            </w:pPr>
            <w:sdt>
              <w:sdtPr>
                <w:rPr>
                  <w:rFonts w:cstheme="minorHAnsi"/>
                  <w:sz w:val="16"/>
                  <w:szCs w:val="16"/>
                </w:rPr>
                <w:id w:val="-912162849"/>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Noted Practice </w:t>
            </w:r>
          </w:p>
          <w:p w:rsidR="00AA6EF1" w:rsidRPr="00C20E43" w:rsidRDefault="0031049E" w:rsidP="00AA6EF1">
            <w:pPr>
              <w:rPr>
                <w:rFonts w:cstheme="minorHAnsi"/>
                <w:sz w:val="16"/>
                <w:szCs w:val="16"/>
              </w:rPr>
            </w:pPr>
            <w:sdt>
              <w:sdtPr>
                <w:rPr>
                  <w:rFonts w:cstheme="minorHAnsi"/>
                  <w:sz w:val="16"/>
                  <w:szCs w:val="16"/>
                </w:rPr>
                <w:id w:val="-390040305"/>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Item(s) to address</w:t>
            </w:r>
          </w:p>
          <w:p w:rsidR="00AA6EF1" w:rsidRPr="00C20E43" w:rsidRDefault="0031049E" w:rsidP="00AA6EF1">
            <w:pPr>
              <w:rPr>
                <w:rFonts w:cstheme="minorHAnsi"/>
                <w:sz w:val="16"/>
                <w:szCs w:val="16"/>
              </w:rPr>
            </w:pPr>
            <w:sdt>
              <w:sdtPr>
                <w:rPr>
                  <w:rFonts w:cstheme="minorHAnsi"/>
                  <w:sz w:val="16"/>
                  <w:szCs w:val="16"/>
                </w:rPr>
                <w:id w:val="421840273"/>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Questioned Costs</w:t>
            </w:r>
          </w:p>
          <w:p w:rsidR="00AA6EF1" w:rsidRPr="00C20E43" w:rsidRDefault="0031049E" w:rsidP="00AA6EF1">
            <w:pPr>
              <w:rPr>
                <w:rFonts w:cstheme="minorHAnsi"/>
                <w:sz w:val="16"/>
                <w:szCs w:val="16"/>
              </w:rPr>
            </w:pPr>
            <w:sdt>
              <w:sdtPr>
                <w:rPr>
                  <w:rFonts w:cstheme="minorHAnsi"/>
                  <w:sz w:val="16"/>
                  <w:szCs w:val="16"/>
                </w:rPr>
                <w:id w:val="-1104113320"/>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Disallowed Costs</w:t>
            </w:r>
          </w:p>
          <w:p w:rsidR="00AA6EF1" w:rsidRDefault="0031049E" w:rsidP="00AA6EF1">
            <w:pPr>
              <w:rPr>
                <w:rFonts w:cstheme="minorHAnsi"/>
                <w:sz w:val="16"/>
                <w:szCs w:val="16"/>
              </w:rPr>
            </w:pPr>
            <w:sdt>
              <w:sdtPr>
                <w:rPr>
                  <w:rFonts w:cstheme="minorHAnsi"/>
                  <w:sz w:val="16"/>
                  <w:szCs w:val="16"/>
                </w:rPr>
                <w:id w:val="70436720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Pending/Additional Evidence </w:t>
            </w:r>
          </w:p>
          <w:p w:rsidR="00AA6EF1" w:rsidRPr="00C20E43" w:rsidRDefault="00AA6EF1" w:rsidP="00AA6EF1">
            <w:pPr>
              <w:rPr>
                <w:rFonts w:cstheme="minorHAnsi"/>
                <w:sz w:val="16"/>
                <w:szCs w:val="16"/>
              </w:rPr>
            </w:pPr>
            <w:r>
              <w:rPr>
                <w:rFonts w:cstheme="minorHAnsi"/>
                <w:sz w:val="16"/>
                <w:szCs w:val="16"/>
              </w:rPr>
              <w:t xml:space="preserve">     </w:t>
            </w:r>
            <w:r w:rsidRPr="00C20E43">
              <w:rPr>
                <w:rFonts w:cstheme="minorHAnsi"/>
                <w:sz w:val="16"/>
                <w:szCs w:val="16"/>
              </w:rPr>
              <w:t>Needed</w:t>
            </w:r>
          </w:p>
          <w:p w:rsidR="00AA6EF1" w:rsidRPr="00C20E43" w:rsidRDefault="0031049E" w:rsidP="00AA6EF1">
            <w:pPr>
              <w:rPr>
                <w:rFonts w:cstheme="minorHAnsi"/>
                <w:sz w:val="16"/>
                <w:szCs w:val="16"/>
              </w:rPr>
            </w:pPr>
            <w:sdt>
              <w:sdtPr>
                <w:rPr>
                  <w:rFonts w:cstheme="minorHAnsi"/>
                  <w:sz w:val="16"/>
                  <w:szCs w:val="16"/>
                </w:rPr>
                <w:id w:val="2135372824"/>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Deficiency of Internal Controls </w:t>
            </w:r>
          </w:p>
          <w:p w:rsidR="00AA6EF1" w:rsidRPr="00C20E43" w:rsidRDefault="0031049E" w:rsidP="00AA6EF1">
            <w:pPr>
              <w:rPr>
                <w:rFonts w:cstheme="minorHAnsi"/>
                <w:sz w:val="16"/>
                <w:szCs w:val="16"/>
              </w:rPr>
            </w:pPr>
            <w:sdt>
              <w:sdtPr>
                <w:rPr>
                  <w:rFonts w:cstheme="minorHAnsi"/>
                  <w:sz w:val="16"/>
                  <w:szCs w:val="16"/>
                </w:rPr>
                <w:id w:val="-968665307"/>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Findings</w:t>
            </w:r>
          </w:p>
          <w:p w:rsidR="00AA6EF1" w:rsidRPr="00C20E43" w:rsidRDefault="0031049E" w:rsidP="00AA6EF1">
            <w:pPr>
              <w:rPr>
                <w:rFonts w:cstheme="minorHAnsi"/>
                <w:sz w:val="16"/>
                <w:szCs w:val="16"/>
              </w:rPr>
            </w:pPr>
            <w:sdt>
              <w:sdtPr>
                <w:rPr>
                  <w:rFonts w:cstheme="minorHAnsi"/>
                  <w:sz w:val="16"/>
                  <w:szCs w:val="16"/>
                </w:rPr>
                <w:id w:val="-202431571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N/A</w:t>
            </w:r>
          </w:p>
          <w:p w:rsidR="004F367B" w:rsidRPr="003F57E0" w:rsidRDefault="004F367B" w:rsidP="004F367B">
            <w:pPr>
              <w:pStyle w:val="ListParagraph"/>
              <w:ind w:left="0"/>
              <w:rPr>
                <w:rFonts w:cstheme="minorHAnsi"/>
                <w:sz w:val="16"/>
                <w:szCs w:val="16"/>
              </w:rPr>
            </w:pPr>
          </w:p>
        </w:tc>
        <w:tc>
          <w:tcPr>
            <w:tcW w:w="1980" w:type="dxa"/>
            <w:tcBorders>
              <w:top w:val="single" w:sz="4" w:space="0" w:color="auto"/>
              <w:bottom w:val="single" w:sz="4" w:space="0" w:color="auto"/>
            </w:tcBorders>
          </w:tcPr>
          <w:p w:rsidR="004F367B" w:rsidRPr="001010FC" w:rsidRDefault="004F367B" w:rsidP="004F367B">
            <w:pPr>
              <w:pStyle w:val="ListParagraph"/>
              <w:ind w:left="0"/>
              <w:rPr>
                <w:rFonts w:eastAsia="Times New Roman" w:cstheme="minorHAnsi"/>
                <w:b/>
                <w:sz w:val="4"/>
                <w:szCs w:val="4"/>
              </w:rPr>
            </w:pPr>
          </w:p>
          <w:p w:rsidR="004F367B" w:rsidRPr="001010FC" w:rsidRDefault="004F367B" w:rsidP="004F367B">
            <w:pPr>
              <w:pStyle w:val="ListParagraph"/>
              <w:ind w:left="0"/>
              <w:rPr>
                <w:rFonts w:cstheme="minorHAnsi"/>
                <w:b/>
                <w:sz w:val="16"/>
                <w:szCs w:val="16"/>
              </w:rPr>
            </w:pPr>
          </w:p>
        </w:tc>
      </w:tr>
      <w:tr w:rsidR="00E11FE1" w:rsidTr="005A43FF">
        <w:tc>
          <w:tcPr>
            <w:tcW w:w="2502" w:type="dxa"/>
            <w:tcBorders>
              <w:top w:val="single" w:sz="4" w:space="0" w:color="auto"/>
              <w:bottom w:val="single" w:sz="4" w:space="0" w:color="auto"/>
            </w:tcBorders>
            <w:shd w:val="clear" w:color="auto" w:fill="auto"/>
          </w:tcPr>
          <w:p w:rsidR="00D4798F" w:rsidRPr="00D4798F" w:rsidRDefault="00D4798F" w:rsidP="00D4798F">
            <w:pPr>
              <w:spacing w:after="160" w:line="259" w:lineRule="auto"/>
              <w:rPr>
                <w:rFonts w:cstheme="minorHAnsi"/>
                <w:b/>
                <w:caps/>
                <w:sz w:val="16"/>
                <w:szCs w:val="16"/>
              </w:rPr>
            </w:pPr>
            <w:r w:rsidRPr="00D4798F">
              <w:rPr>
                <w:rFonts w:cstheme="minorHAnsi"/>
                <w:b/>
                <w:caps/>
                <w:sz w:val="16"/>
                <w:szCs w:val="16"/>
              </w:rPr>
              <w:t>personnel activity report and cost allocation</w:t>
            </w:r>
          </w:p>
          <w:p w:rsidR="00D4798F" w:rsidRPr="00D4798F" w:rsidRDefault="00D4798F" w:rsidP="00D4798F">
            <w:pPr>
              <w:spacing w:after="160" w:line="259" w:lineRule="auto"/>
              <w:rPr>
                <w:rFonts w:cstheme="minorHAnsi"/>
                <w:b/>
                <w:caps/>
                <w:sz w:val="6"/>
                <w:szCs w:val="6"/>
              </w:rPr>
            </w:pPr>
          </w:p>
          <w:p w:rsidR="00D4798F" w:rsidRPr="00D4798F" w:rsidRDefault="00D4798F" w:rsidP="00D4798F">
            <w:pPr>
              <w:spacing w:after="160" w:line="259" w:lineRule="auto"/>
              <w:contextualSpacing/>
              <w:rPr>
                <w:rFonts w:cstheme="minorHAnsi"/>
                <w:b/>
                <w:sz w:val="12"/>
                <w:szCs w:val="12"/>
              </w:rPr>
            </w:pPr>
            <w:r w:rsidRPr="00D4798F">
              <w:rPr>
                <w:rFonts w:cstheme="minorHAnsi"/>
                <w:i/>
                <w:sz w:val="12"/>
                <w:szCs w:val="12"/>
              </w:rPr>
              <w:t>Personnel salaries and related costs are supported by adequate time and effort records for employees who work on multiple cost objectives.  The design of the Personnel Activity Report must support the organization’s cost allocation plan.</w:t>
            </w:r>
          </w:p>
          <w:p w:rsidR="00D4798F" w:rsidRPr="00D4798F" w:rsidRDefault="00D4798F" w:rsidP="00D4798F">
            <w:pPr>
              <w:spacing w:after="160" w:line="259" w:lineRule="auto"/>
              <w:rPr>
                <w:rFonts w:cstheme="minorHAnsi"/>
                <w:b/>
                <w:sz w:val="12"/>
                <w:szCs w:val="12"/>
              </w:rPr>
            </w:pPr>
          </w:p>
          <w:p w:rsidR="00D4798F" w:rsidRPr="00D4798F" w:rsidRDefault="00D4798F" w:rsidP="00D4798F">
            <w:pPr>
              <w:autoSpaceDE w:val="0"/>
              <w:autoSpaceDN w:val="0"/>
              <w:adjustRightInd w:val="0"/>
              <w:rPr>
                <w:rFonts w:cstheme="minorHAnsi"/>
                <w:color w:val="000000"/>
                <w:sz w:val="12"/>
                <w:szCs w:val="12"/>
              </w:rPr>
            </w:pPr>
            <w:r w:rsidRPr="00D4798F">
              <w:rPr>
                <w:rFonts w:cstheme="minorHAnsi"/>
                <w:color w:val="000000"/>
                <w:sz w:val="12"/>
                <w:szCs w:val="12"/>
              </w:rPr>
              <w:t>Uniform Guidance 2 CFR 200.430 (</w:t>
            </w:r>
            <w:proofErr w:type="spellStart"/>
            <w:r w:rsidRPr="00D4798F">
              <w:rPr>
                <w:rFonts w:cstheme="minorHAnsi"/>
                <w:color w:val="000000"/>
                <w:sz w:val="12"/>
                <w:szCs w:val="12"/>
              </w:rPr>
              <w:t>i</w:t>
            </w:r>
            <w:proofErr w:type="spellEnd"/>
            <w:proofErr w:type="gramStart"/>
            <w:r w:rsidRPr="00D4798F">
              <w:rPr>
                <w:rFonts w:cstheme="minorHAnsi"/>
                <w:color w:val="000000"/>
                <w:sz w:val="12"/>
                <w:szCs w:val="12"/>
              </w:rPr>
              <w:t>)(</w:t>
            </w:r>
            <w:proofErr w:type="gramEnd"/>
            <w:r w:rsidRPr="00D4798F">
              <w:rPr>
                <w:rFonts w:cstheme="minorHAnsi"/>
                <w:color w:val="000000"/>
                <w:sz w:val="12"/>
                <w:szCs w:val="12"/>
              </w:rPr>
              <w:t>1) Charges to Federal awards for salaries and wages must be based on records that accurately reflect the work performed. A Personnel Activity Report (PAR), or equivalent, time sheets, must be completed by the employee. The PAR must:</w:t>
            </w:r>
          </w:p>
          <w:p w:rsidR="00D4798F" w:rsidRPr="00D4798F" w:rsidRDefault="00D4798F" w:rsidP="00D4798F">
            <w:pPr>
              <w:numPr>
                <w:ilvl w:val="0"/>
                <w:numId w:val="25"/>
              </w:numPr>
              <w:autoSpaceDE w:val="0"/>
              <w:autoSpaceDN w:val="0"/>
              <w:ind w:left="147" w:hanging="180"/>
              <w:rPr>
                <w:rFonts w:cstheme="minorHAnsi"/>
                <w:color w:val="000000"/>
                <w:sz w:val="12"/>
                <w:szCs w:val="12"/>
              </w:rPr>
            </w:pPr>
            <w:r w:rsidRPr="00D4798F">
              <w:rPr>
                <w:rFonts w:cstheme="minorHAnsi"/>
                <w:color w:val="000000"/>
                <w:sz w:val="12"/>
                <w:szCs w:val="12"/>
              </w:rPr>
              <w:t>Be submitted at least monthly, date and signed by employee and supervisor, electronic signatures are accepted, based on non-Federal agency policy</w:t>
            </w:r>
          </w:p>
          <w:p w:rsidR="00D4798F" w:rsidRPr="00D4798F" w:rsidRDefault="00D4798F" w:rsidP="00D4798F">
            <w:pPr>
              <w:numPr>
                <w:ilvl w:val="0"/>
                <w:numId w:val="25"/>
              </w:numPr>
              <w:autoSpaceDE w:val="0"/>
              <w:autoSpaceDN w:val="0"/>
              <w:ind w:left="147" w:hanging="180"/>
              <w:rPr>
                <w:rFonts w:cstheme="minorHAnsi"/>
                <w:color w:val="000000"/>
                <w:sz w:val="12"/>
                <w:szCs w:val="12"/>
              </w:rPr>
            </w:pPr>
            <w:r w:rsidRPr="00D4798F">
              <w:rPr>
                <w:rFonts w:cstheme="minorHAnsi"/>
                <w:color w:val="000000"/>
                <w:sz w:val="12"/>
                <w:szCs w:val="12"/>
              </w:rPr>
              <w:t>Include Employee’s Identification</w:t>
            </w:r>
          </w:p>
          <w:p w:rsidR="00D4798F" w:rsidRPr="00D4798F" w:rsidRDefault="00D4798F" w:rsidP="00D4798F">
            <w:pPr>
              <w:numPr>
                <w:ilvl w:val="0"/>
                <w:numId w:val="25"/>
              </w:numPr>
              <w:autoSpaceDE w:val="0"/>
              <w:autoSpaceDN w:val="0"/>
              <w:ind w:left="147" w:hanging="180"/>
              <w:rPr>
                <w:rFonts w:cstheme="minorHAnsi"/>
                <w:color w:val="000000"/>
                <w:sz w:val="12"/>
                <w:szCs w:val="12"/>
              </w:rPr>
            </w:pPr>
            <w:r w:rsidRPr="00D4798F">
              <w:rPr>
                <w:rFonts w:cstheme="minorHAnsi"/>
                <w:color w:val="000000"/>
                <w:sz w:val="12"/>
                <w:szCs w:val="12"/>
              </w:rPr>
              <w:t>Coincide with one or more regular pay period</w:t>
            </w:r>
          </w:p>
          <w:p w:rsidR="00E11FE1" w:rsidRPr="00E24128" w:rsidRDefault="00D4798F" w:rsidP="00D4798F">
            <w:pPr>
              <w:rPr>
                <w:rFonts w:cstheme="minorHAnsi"/>
                <w:b/>
                <w:sz w:val="16"/>
                <w:szCs w:val="16"/>
              </w:rPr>
            </w:pPr>
            <w:r w:rsidRPr="00D4798F">
              <w:rPr>
                <w:rFonts w:cstheme="minorHAnsi"/>
                <w:sz w:val="12"/>
                <w:szCs w:val="12"/>
              </w:rPr>
              <w:t>Display the entire time period and breakdown, not just the hours charged to the grant activity, that reasonably reflect the total activity for which the employee is compensated by the non-Federal entity</w:t>
            </w:r>
            <w:r w:rsidRPr="00D4798F">
              <w:rPr>
                <w:rFonts w:ascii="Times New Roman" w:hAnsi="Times New Roman" w:cs="Times New Roman"/>
                <w:sz w:val="18"/>
                <w:szCs w:val="18"/>
              </w:rPr>
              <w:t>.</w:t>
            </w:r>
          </w:p>
        </w:tc>
        <w:tc>
          <w:tcPr>
            <w:tcW w:w="1260" w:type="dxa"/>
            <w:tcBorders>
              <w:top w:val="single" w:sz="4" w:space="0" w:color="auto"/>
              <w:bottom w:val="single" w:sz="4" w:space="0" w:color="auto"/>
            </w:tcBorders>
            <w:shd w:val="clear" w:color="auto" w:fill="auto"/>
          </w:tcPr>
          <w:p w:rsidR="00E11FE1" w:rsidRDefault="00E11FE1" w:rsidP="004F367B">
            <w:pPr>
              <w:rPr>
                <w:rFonts w:cstheme="minorHAnsi"/>
                <w:b/>
                <w:sz w:val="16"/>
                <w:szCs w:val="16"/>
              </w:rPr>
            </w:pPr>
            <w:r>
              <w:rPr>
                <w:rFonts w:cstheme="minorHAnsi"/>
                <w:b/>
                <w:sz w:val="16"/>
                <w:szCs w:val="16"/>
              </w:rPr>
              <w:t>Annual Monitoring Review</w:t>
            </w:r>
          </w:p>
        </w:tc>
        <w:tc>
          <w:tcPr>
            <w:tcW w:w="3240" w:type="dxa"/>
            <w:tcBorders>
              <w:top w:val="single" w:sz="4" w:space="0" w:color="auto"/>
              <w:bottom w:val="single" w:sz="4" w:space="0" w:color="auto"/>
            </w:tcBorders>
            <w:shd w:val="clear" w:color="auto" w:fill="auto"/>
          </w:tcPr>
          <w:p w:rsidR="00B54297" w:rsidRPr="00B54297" w:rsidRDefault="00B54297" w:rsidP="00B54297">
            <w:pPr>
              <w:numPr>
                <w:ilvl w:val="0"/>
                <w:numId w:val="20"/>
              </w:numPr>
              <w:ind w:left="57" w:hanging="90"/>
              <w:contextualSpacing/>
              <w:rPr>
                <w:rFonts w:cstheme="minorHAnsi"/>
                <w:sz w:val="16"/>
                <w:szCs w:val="16"/>
              </w:rPr>
            </w:pPr>
            <w:r w:rsidRPr="00B54297">
              <w:rPr>
                <w:rFonts w:cstheme="minorHAnsi"/>
                <w:sz w:val="16"/>
                <w:szCs w:val="16"/>
              </w:rPr>
              <w:t>ESD Policy 5413</w:t>
            </w:r>
          </w:p>
          <w:p w:rsidR="00B54297" w:rsidRPr="00B54297" w:rsidRDefault="00B54297" w:rsidP="00B54297">
            <w:pPr>
              <w:numPr>
                <w:ilvl w:val="0"/>
                <w:numId w:val="20"/>
              </w:numPr>
              <w:ind w:left="57" w:hanging="90"/>
              <w:contextualSpacing/>
              <w:rPr>
                <w:rFonts w:cstheme="minorHAnsi"/>
                <w:sz w:val="16"/>
                <w:szCs w:val="16"/>
              </w:rPr>
            </w:pPr>
            <w:r w:rsidRPr="00B54297">
              <w:rPr>
                <w:rFonts w:cstheme="minorHAnsi"/>
                <w:sz w:val="16"/>
                <w:szCs w:val="16"/>
              </w:rPr>
              <w:t>20 CFR 200.430 Compensation—personal services</w:t>
            </w:r>
          </w:p>
          <w:p w:rsidR="00B54297" w:rsidRPr="00B54297" w:rsidRDefault="00B54297" w:rsidP="00B54297">
            <w:pPr>
              <w:numPr>
                <w:ilvl w:val="0"/>
                <w:numId w:val="20"/>
              </w:numPr>
              <w:ind w:left="57" w:hanging="90"/>
              <w:contextualSpacing/>
              <w:rPr>
                <w:rFonts w:cstheme="minorHAnsi"/>
                <w:sz w:val="16"/>
                <w:szCs w:val="16"/>
              </w:rPr>
            </w:pPr>
            <w:r w:rsidRPr="00B54297">
              <w:rPr>
                <w:rFonts w:cstheme="minorHAnsi"/>
                <w:sz w:val="16"/>
                <w:szCs w:val="16"/>
              </w:rPr>
              <w:t xml:space="preserve">20 CFR 200.430 (c) (g) </w:t>
            </w:r>
            <w:r w:rsidRPr="00B54297">
              <w:rPr>
                <w:rFonts w:cstheme="minorHAnsi"/>
                <w:i/>
                <w:iCs/>
                <w:sz w:val="16"/>
                <w:szCs w:val="16"/>
              </w:rPr>
              <w:t>Nonprofit organizations</w:t>
            </w:r>
            <w:r w:rsidRPr="00B54297">
              <w:rPr>
                <w:rFonts w:cstheme="minorHAnsi"/>
                <w:sz w:val="16"/>
                <w:szCs w:val="16"/>
              </w:rPr>
              <w:t xml:space="preserve"> </w:t>
            </w:r>
          </w:p>
          <w:p w:rsidR="00E11FE1" w:rsidRPr="00B54297" w:rsidRDefault="00B54297" w:rsidP="00B54297">
            <w:pPr>
              <w:rPr>
                <w:rFonts w:cstheme="minorHAnsi"/>
                <w:sz w:val="16"/>
                <w:szCs w:val="16"/>
              </w:rPr>
            </w:pPr>
            <w:r w:rsidRPr="00B54297">
              <w:rPr>
                <w:rFonts w:cstheme="minorHAnsi"/>
                <w:sz w:val="16"/>
                <w:szCs w:val="16"/>
              </w:rPr>
              <w:t>20 CFR 200.430 (C) The non-Federal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tc>
        <w:tc>
          <w:tcPr>
            <w:tcW w:w="3240" w:type="dxa"/>
            <w:tcBorders>
              <w:top w:val="single" w:sz="4" w:space="0" w:color="auto"/>
              <w:bottom w:val="single" w:sz="4" w:space="0" w:color="auto"/>
            </w:tcBorders>
            <w:shd w:val="clear" w:color="auto" w:fill="auto"/>
          </w:tcPr>
          <w:p w:rsidR="00B54297" w:rsidRPr="00B54297" w:rsidRDefault="00B54297" w:rsidP="00B54297">
            <w:pPr>
              <w:tabs>
                <w:tab w:val="right" w:pos="3181"/>
              </w:tabs>
              <w:rPr>
                <w:rFonts w:cstheme="minorHAnsi"/>
                <w:sz w:val="16"/>
                <w:szCs w:val="16"/>
              </w:rPr>
            </w:pPr>
            <w:r w:rsidRPr="00B54297">
              <w:rPr>
                <w:rFonts w:cstheme="minorHAnsi"/>
                <w:sz w:val="16"/>
                <w:szCs w:val="16"/>
              </w:rPr>
              <w:t>Look at individuals paid out of multiple cost objectives to see how their costs are allocated</w:t>
            </w:r>
          </w:p>
          <w:p w:rsidR="00B54297" w:rsidRPr="00B54297" w:rsidRDefault="00B54297" w:rsidP="00B54297">
            <w:pPr>
              <w:tabs>
                <w:tab w:val="right" w:pos="3181"/>
              </w:tabs>
              <w:rPr>
                <w:rFonts w:cstheme="minorHAnsi"/>
                <w:sz w:val="6"/>
                <w:szCs w:val="6"/>
              </w:rPr>
            </w:pPr>
          </w:p>
          <w:p w:rsidR="00B54297" w:rsidRPr="00B54297" w:rsidRDefault="00B54297" w:rsidP="00B54297">
            <w:pPr>
              <w:rPr>
                <w:rFonts w:cstheme="minorHAnsi"/>
                <w:sz w:val="16"/>
                <w:szCs w:val="16"/>
              </w:rPr>
            </w:pPr>
            <w:r w:rsidRPr="00B54297">
              <w:rPr>
                <w:rFonts w:cstheme="minorHAnsi"/>
                <w:sz w:val="16"/>
                <w:szCs w:val="16"/>
              </w:rPr>
              <w:t xml:space="preserve">Look at the LWDB’s process to ensure payroll charged to federal programs is supported by proper time and effort documentation. Include names/positions of key staff and how the LWDB:   </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Budgets payroll for employees. Randomly select timesheets and payroll (Onsite)</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 xml:space="preserve">Determines required time and effort for each employee.  </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 xml:space="preserve">Ensures time and effort is received timely from employees.  </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Review selected job descriptions (Onsite)</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 xml:space="preserve">Reviews actual versus budgeted payroll charges to make adjustments as needed </w:t>
            </w:r>
          </w:p>
          <w:p w:rsidR="00B54297" w:rsidRPr="00B54297" w:rsidRDefault="00B54297" w:rsidP="00B54297">
            <w:pPr>
              <w:numPr>
                <w:ilvl w:val="0"/>
                <w:numId w:val="16"/>
              </w:numPr>
              <w:tabs>
                <w:tab w:val="right" w:pos="3181"/>
              </w:tabs>
              <w:ind w:left="162" w:hanging="180"/>
              <w:rPr>
                <w:rFonts w:cstheme="minorHAnsi"/>
                <w:b/>
                <w:sz w:val="16"/>
                <w:szCs w:val="16"/>
              </w:rPr>
            </w:pPr>
            <w:r w:rsidRPr="00B54297">
              <w:rPr>
                <w:rFonts w:cstheme="minorHAnsi"/>
                <w:sz w:val="16"/>
                <w:szCs w:val="16"/>
              </w:rPr>
              <w:t>Reviews staff reassignments to determine any necessary time and effort changes.</w:t>
            </w:r>
          </w:p>
          <w:p w:rsidR="00E11FE1" w:rsidRPr="001010FC" w:rsidRDefault="00B54297" w:rsidP="00B54297">
            <w:pPr>
              <w:numPr>
                <w:ilvl w:val="0"/>
                <w:numId w:val="16"/>
              </w:numPr>
              <w:tabs>
                <w:tab w:val="right" w:pos="3181"/>
              </w:tabs>
              <w:ind w:left="162" w:hanging="180"/>
              <w:rPr>
                <w:rFonts w:cstheme="minorHAnsi"/>
                <w:b/>
                <w:sz w:val="16"/>
                <w:szCs w:val="16"/>
              </w:rPr>
            </w:pPr>
            <w:r w:rsidRPr="00B54297">
              <w:rPr>
                <w:rFonts w:cstheme="minorHAnsi"/>
                <w:sz w:val="16"/>
                <w:szCs w:val="16"/>
              </w:rPr>
              <w:t>Review current organizational chart</w:t>
            </w:r>
          </w:p>
        </w:tc>
        <w:tc>
          <w:tcPr>
            <w:tcW w:w="2700" w:type="dxa"/>
            <w:shd w:val="clear" w:color="auto" w:fill="auto"/>
          </w:tcPr>
          <w:p w:rsidR="00AA6EF1" w:rsidRPr="00D1619C" w:rsidRDefault="00AA6EF1" w:rsidP="00AA6EF1">
            <w:pPr>
              <w:rPr>
                <w:rFonts w:cstheme="minorHAnsi"/>
                <w:b/>
                <w:sz w:val="16"/>
                <w:szCs w:val="16"/>
              </w:rPr>
            </w:pPr>
            <w:r w:rsidRPr="00D1619C">
              <w:rPr>
                <w:rFonts w:cstheme="minorHAnsi"/>
                <w:b/>
                <w:sz w:val="16"/>
                <w:szCs w:val="16"/>
              </w:rPr>
              <w:t>Monitoring annually</w:t>
            </w:r>
            <w:r>
              <w:rPr>
                <w:rFonts w:cstheme="minorHAnsi"/>
                <w:b/>
                <w:sz w:val="16"/>
                <w:szCs w:val="16"/>
              </w:rPr>
              <w:t>:</w:t>
            </w:r>
          </w:p>
          <w:p w:rsidR="00AA6EF1" w:rsidRPr="00645F5F" w:rsidRDefault="00AA6EF1" w:rsidP="00AA6EF1">
            <w:pPr>
              <w:rPr>
                <w:rFonts w:cstheme="minorHAnsi"/>
                <w:sz w:val="6"/>
                <w:szCs w:val="6"/>
              </w:rPr>
            </w:pPr>
          </w:p>
          <w:p w:rsidR="00AA6EF1" w:rsidRPr="00C20E43" w:rsidRDefault="0031049E" w:rsidP="00AA6EF1">
            <w:pPr>
              <w:rPr>
                <w:rFonts w:cstheme="minorHAnsi"/>
                <w:sz w:val="16"/>
                <w:szCs w:val="16"/>
              </w:rPr>
            </w:pPr>
            <w:sdt>
              <w:sdtPr>
                <w:rPr>
                  <w:rFonts w:cstheme="minorHAnsi"/>
                  <w:sz w:val="16"/>
                  <w:szCs w:val="16"/>
                </w:rPr>
                <w:id w:val="-1958247743"/>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 Issues Identified</w:t>
            </w:r>
          </w:p>
          <w:p w:rsidR="00AA6EF1" w:rsidRPr="00C20E43" w:rsidRDefault="0031049E" w:rsidP="00AA6EF1">
            <w:pPr>
              <w:rPr>
                <w:rFonts w:cstheme="minorHAnsi"/>
                <w:sz w:val="16"/>
                <w:szCs w:val="16"/>
              </w:rPr>
            </w:pPr>
            <w:sdt>
              <w:sdtPr>
                <w:rPr>
                  <w:rFonts w:cstheme="minorHAnsi"/>
                  <w:sz w:val="16"/>
                  <w:szCs w:val="16"/>
                </w:rPr>
                <w:id w:val="2046255983"/>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Noted Practice </w:t>
            </w:r>
          </w:p>
          <w:p w:rsidR="00AA6EF1" w:rsidRPr="00C20E43" w:rsidRDefault="0031049E" w:rsidP="00AA6EF1">
            <w:pPr>
              <w:rPr>
                <w:rFonts w:cstheme="minorHAnsi"/>
                <w:sz w:val="16"/>
                <w:szCs w:val="16"/>
              </w:rPr>
            </w:pPr>
            <w:sdt>
              <w:sdtPr>
                <w:rPr>
                  <w:rFonts w:cstheme="minorHAnsi"/>
                  <w:sz w:val="16"/>
                  <w:szCs w:val="16"/>
                </w:rPr>
                <w:id w:val="-5639780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Item(s) to address</w:t>
            </w:r>
          </w:p>
          <w:p w:rsidR="00AA6EF1" w:rsidRPr="00C20E43" w:rsidRDefault="0031049E" w:rsidP="00AA6EF1">
            <w:pPr>
              <w:rPr>
                <w:rFonts w:cstheme="minorHAnsi"/>
                <w:sz w:val="16"/>
                <w:szCs w:val="16"/>
              </w:rPr>
            </w:pPr>
            <w:sdt>
              <w:sdtPr>
                <w:rPr>
                  <w:rFonts w:cstheme="minorHAnsi"/>
                  <w:sz w:val="16"/>
                  <w:szCs w:val="16"/>
                </w:rPr>
                <w:id w:val="189701139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Questioned Costs</w:t>
            </w:r>
          </w:p>
          <w:p w:rsidR="00AA6EF1" w:rsidRPr="00C20E43" w:rsidRDefault="0031049E" w:rsidP="00AA6EF1">
            <w:pPr>
              <w:rPr>
                <w:rFonts w:cstheme="minorHAnsi"/>
                <w:sz w:val="16"/>
                <w:szCs w:val="16"/>
              </w:rPr>
            </w:pPr>
            <w:sdt>
              <w:sdtPr>
                <w:rPr>
                  <w:rFonts w:cstheme="minorHAnsi"/>
                  <w:sz w:val="16"/>
                  <w:szCs w:val="16"/>
                </w:rPr>
                <w:id w:val="-1824737884"/>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Disallowed Costs</w:t>
            </w:r>
          </w:p>
          <w:p w:rsidR="00AA6EF1" w:rsidRDefault="0031049E" w:rsidP="00AA6EF1">
            <w:pPr>
              <w:rPr>
                <w:rFonts w:cstheme="minorHAnsi"/>
                <w:sz w:val="16"/>
                <w:szCs w:val="16"/>
              </w:rPr>
            </w:pPr>
            <w:sdt>
              <w:sdtPr>
                <w:rPr>
                  <w:rFonts w:cstheme="minorHAnsi"/>
                  <w:sz w:val="16"/>
                  <w:szCs w:val="16"/>
                </w:rPr>
                <w:id w:val="-949318398"/>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Pending/Additional Evidence </w:t>
            </w:r>
          </w:p>
          <w:p w:rsidR="00AA6EF1" w:rsidRPr="00C20E43" w:rsidRDefault="00AA6EF1" w:rsidP="00AA6EF1">
            <w:pPr>
              <w:rPr>
                <w:rFonts w:cstheme="minorHAnsi"/>
                <w:sz w:val="16"/>
                <w:szCs w:val="16"/>
              </w:rPr>
            </w:pPr>
            <w:r>
              <w:rPr>
                <w:rFonts w:cstheme="minorHAnsi"/>
                <w:sz w:val="16"/>
                <w:szCs w:val="16"/>
              </w:rPr>
              <w:t xml:space="preserve">     </w:t>
            </w:r>
            <w:r w:rsidRPr="00C20E43">
              <w:rPr>
                <w:rFonts w:cstheme="minorHAnsi"/>
                <w:sz w:val="16"/>
                <w:szCs w:val="16"/>
              </w:rPr>
              <w:t>Needed</w:t>
            </w:r>
          </w:p>
          <w:p w:rsidR="00AA6EF1" w:rsidRPr="00C20E43" w:rsidRDefault="0031049E" w:rsidP="00AA6EF1">
            <w:pPr>
              <w:rPr>
                <w:rFonts w:cstheme="minorHAnsi"/>
                <w:sz w:val="16"/>
                <w:szCs w:val="16"/>
              </w:rPr>
            </w:pPr>
            <w:sdt>
              <w:sdtPr>
                <w:rPr>
                  <w:rFonts w:cstheme="minorHAnsi"/>
                  <w:sz w:val="16"/>
                  <w:szCs w:val="16"/>
                </w:rPr>
                <w:id w:val="-76537917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Deficiency of Internal Controls </w:t>
            </w:r>
          </w:p>
          <w:p w:rsidR="00AA6EF1" w:rsidRPr="00C20E43" w:rsidRDefault="0031049E" w:rsidP="00AA6EF1">
            <w:pPr>
              <w:rPr>
                <w:rFonts w:cstheme="minorHAnsi"/>
                <w:sz w:val="16"/>
                <w:szCs w:val="16"/>
              </w:rPr>
            </w:pPr>
            <w:sdt>
              <w:sdtPr>
                <w:rPr>
                  <w:rFonts w:cstheme="minorHAnsi"/>
                  <w:sz w:val="16"/>
                  <w:szCs w:val="16"/>
                </w:rPr>
                <w:id w:val="-30331840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Findings</w:t>
            </w:r>
          </w:p>
          <w:p w:rsidR="00AA6EF1" w:rsidRPr="00C20E43" w:rsidRDefault="0031049E" w:rsidP="00AA6EF1">
            <w:pPr>
              <w:rPr>
                <w:rFonts w:cstheme="minorHAnsi"/>
                <w:sz w:val="16"/>
                <w:szCs w:val="16"/>
              </w:rPr>
            </w:pPr>
            <w:sdt>
              <w:sdtPr>
                <w:rPr>
                  <w:rFonts w:cstheme="minorHAnsi"/>
                  <w:sz w:val="16"/>
                  <w:szCs w:val="16"/>
                </w:rPr>
                <w:id w:val="-349261369"/>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N/A</w:t>
            </w:r>
          </w:p>
          <w:p w:rsidR="00E11FE1" w:rsidRPr="003F57E0" w:rsidRDefault="00E11FE1" w:rsidP="004F367B">
            <w:pPr>
              <w:pStyle w:val="ListParagraph"/>
              <w:ind w:left="0"/>
              <w:rPr>
                <w:rFonts w:cstheme="minorHAnsi"/>
                <w:sz w:val="16"/>
                <w:szCs w:val="16"/>
              </w:rPr>
            </w:pPr>
          </w:p>
        </w:tc>
        <w:tc>
          <w:tcPr>
            <w:tcW w:w="1980" w:type="dxa"/>
            <w:tcBorders>
              <w:top w:val="single" w:sz="4" w:space="0" w:color="auto"/>
              <w:bottom w:val="single" w:sz="4" w:space="0" w:color="auto"/>
            </w:tcBorders>
          </w:tcPr>
          <w:p w:rsidR="00E11FE1" w:rsidRPr="001010FC" w:rsidRDefault="00E11FE1" w:rsidP="004F367B">
            <w:pPr>
              <w:pStyle w:val="ListParagraph"/>
              <w:ind w:left="0"/>
              <w:rPr>
                <w:rFonts w:eastAsia="Times New Roman" w:cstheme="minorHAnsi"/>
                <w:b/>
                <w:sz w:val="4"/>
                <w:szCs w:val="4"/>
              </w:rPr>
            </w:pPr>
          </w:p>
        </w:tc>
      </w:tr>
    </w:tbl>
    <w:p w:rsidR="001010FC" w:rsidRPr="008D22E2" w:rsidRDefault="001010FC" w:rsidP="008D22E2">
      <w:pPr>
        <w:spacing w:after="0" w:line="240" w:lineRule="auto"/>
        <w:rPr>
          <w:sz w:val="2"/>
          <w:szCs w:val="2"/>
        </w:rPr>
      </w:pPr>
    </w:p>
    <w:p w:rsidR="001010FC" w:rsidRDefault="001010FC"/>
    <w:p w:rsidR="00E24128" w:rsidRDefault="00E24128" w:rsidP="00644FFC">
      <w:pPr>
        <w:spacing w:after="0" w:line="240" w:lineRule="auto"/>
      </w:pPr>
    </w:p>
    <w:p w:rsidR="005A0A0A" w:rsidRPr="001010FC" w:rsidRDefault="005A0A0A" w:rsidP="001010FC">
      <w:pPr>
        <w:rPr>
          <w:sz w:val="2"/>
          <w:szCs w:val="2"/>
        </w:rPr>
      </w:pPr>
      <w:r w:rsidRPr="005F6B23">
        <w:rPr>
          <w:sz w:val="24"/>
          <w:szCs w:val="24"/>
        </w:rPr>
        <w:t xml:space="preserve"> </w:t>
      </w:r>
    </w:p>
    <w:sectPr w:rsidR="005A0A0A" w:rsidRPr="001010FC" w:rsidSect="00644FFC">
      <w:headerReference w:type="default" r:id="rId7"/>
      <w:footerReference w:type="default" r:id="rId8"/>
      <w:pgSz w:w="15840" w:h="12240" w:orient="landscape"/>
      <w:pgMar w:top="432" w:right="432"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BD" w:rsidRDefault="00C57FBD" w:rsidP="00644FFC">
      <w:pPr>
        <w:spacing w:after="0" w:line="240" w:lineRule="auto"/>
      </w:pPr>
      <w:r>
        <w:separator/>
      </w:r>
    </w:p>
  </w:endnote>
  <w:endnote w:type="continuationSeparator" w:id="0">
    <w:p w:rsidR="00C57FBD" w:rsidRDefault="00C57FBD" w:rsidP="0064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9E" w:rsidRDefault="00F1129E" w:rsidP="00F1129E">
    <w:pPr>
      <w:pStyle w:val="Footer"/>
      <w:rPr>
        <w:b/>
        <w:bCs/>
        <w:sz w:val="16"/>
        <w:szCs w:val="16"/>
      </w:rPr>
    </w:pPr>
    <w:r w:rsidRPr="006A07C4">
      <w:rPr>
        <w:sz w:val="16"/>
        <w:szCs w:val="16"/>
      </w:rPr>
      <w:t>ESD</w:t>
    </w:r>
    <w:r>
      <w:rPr>
        <w:sz w:val="16"/>
        <w:szCs w:val="16"/>
      </w:rPr>
      <w:t xml:space="preserve"> EcSA Contract Worksheet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A07C4">
      <w:rPr>
        <w:sz w:val="16"/>
        <w:szCs w:val="16"/>
      </w:rPr>
      <w:t xml:space="preserve">Page </w:t>
    </w:r>
    <w:r w:rsidRPr="006A07C4">
      <w:rPr>
        <w:b/>
        <w:bCs/>
        <w:sz w:val="16"/>
        <w:szCs w:val="16"/>
      </w:rPr>
      <w:fldChar w:fldCharType="begin"/>
    </w:r>
    <w:r w:rsidRPr="006A07C4">
      <w:rPr>
        <w:b/>
        <w:bCs/>
        <w:sz w:val="16"/>
        <w:szCs w:val="16"/>
      </w:rPr>
      <w:instrText xml:space="preserve"> PAGE  \* Arabic  \* MERGEFORMAT </w:instrText>
    </w:r>
    <w:r w:rsidRPr="006A07C4">
      <w:rPr>
        <w:b/>
        <w:bCs/>
        <w:sz w:val="16"/>
        <w:szCs w:val="16"/>
      </w:rPr>
      <w:fldChar w:fldCharType="separate"/>
    </w:r>
    <w:r w:rsidR="0031049E">
      <w:rPr>
        <w:b/>
        <w:bCs/>
        <w:noProof/>
        <w:sz w:val="16"/>
        <w:szCs w:val="16"/>
      </w:rPr>
      <w:t>9</w:t>
    </w:r>
    <w:r w:rsidRPr="006A07C4">
      <w:rPr>
        <w:b/>
        <w:bCs/>
        <w:sz w:val="16"/>
        <w:szCs w:val="16"/>
      </w:rPr>
      <w:fldChar w:fldCharType="end"/>
    </w:r>
    <w:r w:rsidRPr="006A07C4">
      <w:rPr>
        <w:sz w:val="16"/>
        <w:szCs w:val="16"/>
      </w:rPr>
      <w:t xml:space="preserve"> of </w:t>
    </w:r>
    <w:r w:rsidRPr="006A07C4">
      <w:rPr>
        <w:b/>
        <w:bCs/>
        <w:sz w:val="16"/>
        <w:szCs w:val="16"/>
      </w:rPr>
      <w:fldChar w:fldCharType="begin"/>
    </w:r>
    <w:r w:rsidRPr="006A07C4">
      <w:rPr>
        <w:b/>
        <w:bCs/>
        <w:sz w:val="16"/>
        <w:szCs w:val="16"/>
      </w:rPr>
      <w:instrText xml:space="preserve"> NUMPAGES  \* Arabic  \* MERGEFORMAT </w:instrText>
    </w:r>
    <w:r w:rsidRPr="006A07C4">
      <w:rPr>
        <w:b/>
        <w:bCs/>
        <w:sz w:val="16"/>
        <w:szCs w:val="16"/>
      </w:rPr>
      <w:fldChar w:fldCharType="separate"/>
    </w:r>
    <w:r w:rsidR="0031049E">
      <w:rPr>
        <w:b/>
        <w:bCs/>
        <w:noProof/>
        <w:sz w:val="16"/>
        <w:szCs w:val="16"/>
      </w:rPr>
      <w:t>9</w:t>
    </w:r>
    <w:r w:rsidRPr="006A07C4">
      <w:rPr>
        <w:b/>
        <w:bCs/>
        <w:sz w:val="16"/>
        <w:szCs w:val="16"/>
      </w:rPr>
      <w:fldChar w:fldCharType="end"/>
    </w:r>
  </w:p>
  <w:p w:rsidR="00F1129E" w:rsidRDefault="0031049E" w:rsidP="00F1129E">
    <w:pPr>
      <w:pStyle w:val="Footer"/>
    </w:pPr>
    <w:r>
      <w:rPr>
        <w:bCs/>
        <w:sz w:val="16"/>
        <w:szCs w:val="16"/>
      </w:rPr>
      <w:t>January 31, 2020</w:t>
    </w:r>
  </w:p>
  <w:p w:rsidR="00C57FBD" w:rsidRPr="00F1129E" w:rsidRDefault="00C57FBD" w:rsidP="00F1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BD" w:rsidRDefault="00C57FBD" w:rsidP="00644FFC">
      <w:pPr>
        <w:spacing w:after="0" w:line="240" w:lineRule="auto"/>
      </w:pPr>
      <w:r>
        <w:separator/>
      </w:r>
    </w:p>
  </w:footnote>
  <w:footnote w:type="continuationSeparator" w:id="0">
    <w:p w:rsidR="00C57FBD" w:rsidRDefault="00C57FBD" w:rsidP="00644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BD" w:rsidRDefault="00C57FBD">
    <w:pPr>
      <w:pStyle w:val="Header"/>
    </w:pPr>
    <w:r w:rsidRPr="009002DF">
      <w:rPr>
        <w:rFonts w:eastAsia="Calibri" w:cstheme="minorHAnsi"/>
        <w:noProof/>
        <w:color w:val="333333"/>
        <w:sz w:val="21"/>
        <w:szCs w:val="21"/>
      </w:rPr>
      <w:drawing>
        <wp:inline distT="0" distB="0" distL="0" distR="0" wp14:anchorId="04C8ACCC" wp14:editId="2199B779">
          <wp:extent cx="1572260" cy="630555"/>
          <wp:effectExtent l="0" t="0" r="8890" b="0"/>
          <wp:docPr id="7" name="Picture 7" descr="http://insideesd/Media/Default/communications/2colorh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sd/Media/Default/communications/2colorhor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0555"/>
                  </a:xfrm>
                  <a:prstGeom prst="rect">
                    <a:avLst/>
                  </a:prstGeom>
                  <a:noFill/>
                  <a:ln>
                    <a:noFill/>
                  </a:ln>
                </pic:spPr>
              </pic:pic>
            </a:graphicData>
          </a:graphic>
        </wp:inline>
      </w:drawing>
    </w:r>
  </w:p>
  <w:p w:rsidR="00C57FBD" w:rsidRPr="00D34C70" w:rsidRDefault="00873408" w:rsidP="00644FFC">
    <w:pPr>
      <w:spacing w:after="0" w:line="240" w:lineRule="auto"/>
      <w:jc w:val="center"/>
      <w:rPr>
        <w:b/>
        <w:sz w:val="36"/>
        <w:szCs w:val="36"/>
      </w:rPr>
    </w:pPr>
    <w:r>
      <w:rPr>
        <w:b/>
        <w:sz w:val="36"/>
        <w:szCs w:val="36"/>
      </w:rPr>
      <w:t>Economic Security for All (EcSA)</w:t>
    </w:r>
  </w:p>
  <w:p w:rsidR="00C57FBD" w:rsidRPr="00D34C70" w:rsidRDefault="00D32736" w:rsidP="00644FFC">
    <w:pPr>
      <w:spacing w:after="0" w:line="240" w:lineRule="auto"/>
      <w:jc w:val="center"/>
      <w:rPr>
        <w:b/>
        <w:sz w:val="36"/>
        <w:szCs w:val="36"/>
      </w:rPr>
    </w:pPr>
    <w:r>
      <w:rPr>
        <w:b/>
        <w:sz w:val="36"/>
        <w:szCs w:val="36"/>
      </w:rPr>
      <w:t>Contract</w:t>
    </w:r>
    <w:r w:rsidR="00C57FBD" w:rsidRPr="00D34C70">
      <w:rPr>
        <w:b/>
        <w:sz w:val="36"/>
        <w:szCs w:val="36"/>
      </w:rPr>
      <w:t xml:space="preserve"> Worksheet</w:t>
    </w:r>
  </w:p>
  <w:p w:rsidR="00C57FBD" w:rsidRPr="00D34C70" w:rsidRDefault="002420CB" w:rsidP="00644FFC">
    <w:pPr>
      <w:spacing w:after="0" w:line="240" w:lineRule="auto"/>
      <w:jc w:val="center"/>
      <w:rPr>
        <w:sz w:val="24"/>
        <w:szCs w:val="24"/>
      </w:rPr>
    </w:pPr>
    <w:r>
      <w:rPr>
        <w:sz w:val="24"/>
        <w:szCs w:val="24"/>
      </w:rPr>
      <w:t>WorkF</w:t>
    </w:r>
    <w:r w:rsidR="000333D8">
      <w:rPr>
        <w:sz w:val="24"/>
        <w:szCs w:val="24"/>
      </w:rPr>
      <w:t>orce Central</w:t>
    </w:r>
  </w:p>
  <w:p w:rsidR="00C57FBD" w:rsidRPr="00D34C70" w:rsidRDefault="00873408" w:rsidP="00644FFC">
    <w:pPr>
      <w:spacing w:after="0" w:line="240" w:lineRule="auto"/>
      <w:jc w:val="center"/>
      <w:rPr>
        <w:sz w:val="24"/>
        <w:szCs w:val="24"/>
      </w:rPr>
    </w:pPr>
    <w:r>
      <w:rPr>
        <w:sz w:val="24"/>
        <w:szCs w:val="24"/>
      </w:rPr>
      <w:t>Eco</w:t>
    </w:r>
    <w:r w:rsidR="00A745C3">
      <w:rPr>
        <w:sz w:val="24"/>
        <w:szCs w:val="24"/>
      </w:rPr>
      <w:t>nomic Security for All - Pierce</w:t>
    </w:r>
  </w:p>
  <w:p w:rsidR="00C57FBD" w:rsidRPr="00D34C70" w:rsidRDefault="00C57FBD" w:rsidP="00644FFC">
    <w:pPr>
      <w:spacing w:after="0" w:line="240" w:lineRule="auto"/>
      <w:jc w:val="center"/>
      <w:rPr>
        <w:sz w:val="20"/>
        <w:szCs w:val="20"/>
      </w:rPr>
    </w:pPr>
    <w:r w:rsidRPr="00D34C70">
      <w:rPr>
        <w:sz w:val="20"/>
        <w:szCs w:val="20"/>
      </w:rPr>
      <w:t>Contract #K</w:t>
    </w:r>
    <w:r w:rsidR="00A745C3">
      <w:rPr>
        <w:sz w:val="20"/>
        <w:szCs w:val="20"/>
      </w:rPr>
      <w:t>6409</w:t>
    </w:r>
  </w:p>
  <w:p w:rsidR="00C57FBD" w:rsidRPr="00D34C70" w:rsidRDefault="00873408" w:rsidP="00644FFC">
    <w:pPr>
      <w:spacing w:after="0" w:line="240" w:lineRule="auto"/>
      <w:jc w:val="center"/>
      <w:rPr>
        <w:sz w:val="20"/>
        <w:szCs w:val="20"/>
      </w:rPr>
    </w:pPr>
    <w:r>
      <w:rPr>
        <w:sz w:val="20"/>
        <w:szCs w:val="20"/>
      </w:rPr>
      <w:t>July 1, 2019 – March 31, 2022</w:t>
    </w:r>
  </w:p>
  <w:tbl>
    <w:tblPr>
      <w:tblStyle w:val="TableGrid"/>
      <w:tblW w:w="1497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20"/>
      <w:gridCol w:w="1260"/>
      <w:gridCol w:w="3240"/>
      <w:gridCol w:w="3240"/>
      <w:gridCol w:w="2700"/>
      <w:gridCol w:w="2018"/>
    </w:tblGrid>
    <w:tr w:rsidR="00844AEA" w:rsidRPr="00644FFC" w:rsidTr="002420CB">
      <w:tc>
        <w:tcPr>
          <w:tcW w:w="252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Tasks</w:t>
          </w:r>
        </w:p>
      </w:tc>
      <w:tc>
        <w:tcPr>
          <w:tcW w:w="126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Timeline</w:t>
          </w:r>
        </w:p>
      </w:tc>
      <w:tc>
        <w:tcPr>
          <w:tcW w:w="3240" w:type="dxa"/>
          <w:shd w:val="clear" w:color="auto" w:fill="D9D9D9" w:themeFill="background1" w:themeFillShade="D9"/>
          <w:vAlign w:val="center"/>
        </w:tcPr>
        <w:p w:rsidR="00D32736" w:rsidRPr="00644FFC" w:rsidRDefault="00D32736" w:rsidP="00644FFC">
          <w:pPr>
            <w:tabs>
              <w:tab w:val="right" w:pos="2484"/>
            </w:tabs>
            <w:spacing w:before="60" w:after="60"/>
            <w:jc w:val="center"/>
            <w:rPr>
              <w:rFonts w:cstheme="minorHAnsi"/>
              <w:b/>
              <w:caps/>
              <w:sz w:val="20"/>
              <w:szCs w:val="20"/>
            </w:rPr>
          </w:pPr>
          <w:r w:rsidRPr="00644FFC">
            <w:rPr>
              <w:rFonts w:cstheme="minorHAnsi"/>
              <w:b/>
              <w:caps/>
              <w:sz w:val="20"/>
              <w:szCs w:val="20"/>
            </w:rPr>
            <w:t>Activities to Accomplish</w:t>
          </w:r>
        </w:p>
      </w:tc>
      <w:tc>
        <w:tcPr>
          <w:tcW w:w="324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Anticipated Outcomes/Deliverables</w:t>
          </w:r>
        </w:p>
      </w:tc>
      <w:tc>
        <w:tcPr>
          <w:tcW w:w="270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Pr>
              <w:rFonts w:cstheme="minorHAnsi"/>
              <w:b/>
              <w:caps/>
              <w:sz w:val="20"/>
              <w:szCs w:val="20"/>
            </w:rPr>
            <w:t>determination</w:t>
          </w:r>
        </w:p>
      </w:tc>
      <w:tc>
        <w:tcPr>
          <w:tcW w:w="2018"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Comments</w:t>
          </w:r>
        </w:p>
      </w:tc>
    </w:tr>
  </w:tbl>
  <w:p w:rsidR="00C57FBD" w:rsidRPr="00644FFC" w:rsidRDefault="00C57FB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9E7"/>
    <w:multiLevelType w:val="hybridMultilevel"/>
    <w:tmpl w:val="38A0E26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0D79"/>
    <w:multiLevelType w:val="hybridMultilevel"/>
    <w:tmpl w:val="D79AE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9ED"/>
    <w:multiLevelType w:val="hybridMultilevel"/>
    <w:tmpl w:val="A000A64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426F"/>
    <w:multiLevelType w:val="hybridMultilevel"/>
    <w:tmpl w:val="91A4C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13E6E"/>
    <w:multiLevelType w:val="hybridMultilevel"/>
    <w:tmpl w:val="C1CC2276"/>
    <w:lvl w:ilvl="0" w:tplc="83BEB08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65809"/>
    <w:multiLevelType w:val="hybridMultilevel"/>
    <w:tmpl w:val="198EB2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830EE"/>
    <w:multiLevelType w:val="hybridMultilevel"/>
    <w:tmpl w:val="9AA4343C"/>
    <w:lvl w:ilvl="0" w:tplc="F24295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151A36"/>
    <w:multiLevelType w:val="hybridMultilevel"/>
    <w:tmpl w:val="8BC21AD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8" w15:restartNumberingAfterBreak="0">
    <w:nsid w:val="22F96446"/>
    <w:multiLevelType w:val="hybridMultilevel"/>
    <w:tmpl w:val="2C8C69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F4B54"/>
    <w:multiLevelType w:val="hybridMultilevel"/>
    <w:tmpl w:val="94BE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C397C"/>
    <w:multiLevelType w:val="hybridMultilevel"/>
    <w:tmpl w:val="53F8B760"/>
    <w:lvl w:ilvl="0" w:tplc="5FD61334">
      <w:start w:val="1"/>
      <w:numFmt w:val="bullet"/>
      <w:lvlText w:val=""/>
      <w:lvlJc w:val="left"/>
      <w:pPr>
        <w:ind w:left="309" w:hanging="360"/>
      </w:pPr>
      <w:rPr>
        <w:rFonts w:ascii="Symbol" w:hAnsi="Symbol" w:hint="default"/>
        <w:color w:val="auto"/>
        <w:sz w:val="14"/>
        <w:szCs w:val="14"/>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1" w15:restartNumberingAfterBreak="0">
    <w:nsid w:val="2AC91F2C"/>
    <w:multiLevelType w:val="hybridMultilevel"/>
    <w:tmpl w:val="0A4A3332"/>
    <w:lvl w:ilvl="0" w:tplc="04090013">
      <w:start w:val="1"/>
      <w:numFmt w:val="upperRoman"/>
      <w:lvlText w:val="%1."/>
      <w:lvlJc w:val="righ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15:restartNumberingAfterBreak="0">
    <w:nsid w:val="2CEC1144"/>
    <w:multiLevelType w:val="hybridMultilevel"/>
    <w:tmpl w:val="FD5E945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A541B"/>
    <w:multiLevelType w:val="hybridMultilevel"/>
    <w:tmpl w:val="07489000"/>
    <w:lvl w:ilvl="0" w:tplc="DCAA2A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41676"/>
    <w:multiLevelType w:val="hybridMultilevel"/>
    <w:tmpl w:val="D29E87B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F6FB3"/>
    <w:multiLevelType w:val="hybridMultilevel"/>
    <w:tmpl w:val="19EA96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1E70319"/>
    <w:multiLevelType w:val="hybridMultilevel"/>
    <w:tmpl w:val="0C6CD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32CA2"/>
    <w:multiLevelType w:val="hybridMultilevel"/>
    <w:tmpl w:val="C8D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825EF"/>
    <w:multiLevelType w:val="hybridMultilevel"/>
    <w:tmpl w:val="11C2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51493"/>
    <w:multiLevelType w:val="hybridMultilevel"/>
    <w:tmpl w:val="FE049E8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07634"/>
    <w:multiLevelType w:val="hybridMultilevel"/>
    <w:tmpl w:val="EF9A64E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B38F7"/>
    <w:multiLevelType w:val="hybridMultilevel"/>
    <w:tmpl w:val="A718DC7A"/>
    <w:lvl w:ilvl="0" w:tplc="B7968284">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3B4E47"/>
    <w:multiLevelType w:val="hybridMultilevel"/>
    <w:tmpl w:val="94E6D2A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94C56"/>
    <w:multiLevelType w:val="hybridMultilevel"/>
    <w:tmpl w:val="A9F8332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32B24"/>
    <w:multiLevelType w:val="hybridMultilevel"/>
    <w:tmpl w:val="6D0A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65BF4"/>
    <w:multiLevelType w:val="hybridMultilevel"/>
    <w:tmpl w:val="B76299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80E43"/>
    <w:multiLevelType w:val="hybridMultilevel"/>
    <w:tmpl w:val="99CA7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F6C19"/>
    <w:multiLevelType w:val="hybridMultilevel"/>
    <w:tmpl w:val="DA06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B4A61"/>
    <w:multiLevelType w:val="hybridMultilevel"/>
    <w:tmpl w:val="658AE0D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A387E"/>
    <w:multiLevelType w:val="hybridMultilevel"/>
    <w:tmpl w:val="DF1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025AA"/>
    <w:multiLevelType w:val="hybridMultilevel"/>
    <w:tmpl w:val="7E90CAF6"/>
    <w:lvl w:ilvl="0" w:tplc="04090001">
      <w:start w:val="1"/>
      <w:numFmt w:val="bullet"/>
      <w:lvlText w:val=""/>
      <w:lvlJc w:val="left"/>
      <w:pPr>
        <w:ind w:left="360" w:hanging="360"/>
      </w:pPr>
      <w:rPr>
        <w:rFonts w:ascii="Symbol" w:hAnsi="Symbol" w:hint="default"/>
      </w:rPr>
    </w:lvl>
    <w:lvl w:ilvl="1" w:tplc="D0B2C55C">
      <w:start w:val="1"/>
      <w:numFmt w:val="bullet"/>
      <w:lvlText w:val=""/>
      <w:lvlJc w:val="left"/>
      <w:pPr>
        <w:ind w:left="1080" w:hanging="360"/>
      </w:pPr>
      <w:rPr>
        <w:rFonts w:ascii="Wingdings" w:hAnsi="Wingdings"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A437E6"/>
    <w:multiLevelType w:val="hybridMultilevel"/>
    <w:tmpl w:val="6988E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AE1303"/>
    <w:multiLevelType w:val="hybridMultilevel"/>
    <w:tmpl w:val="31A032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0D5C85"/>
    <w:multiLevelType w:val="hybridMultilevel"/>
    <w:tmpl w:val="2870AF2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4" w15:restartNumberingAfterBreak="0">
    <w:nsid w:val="799F1734"/>
    <w:multiLevelType w:val="hybridMultilevel"/>
    <w:tmpl w:val="6564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E70A4"/>
    <w:multiLevelType w:val="hybridMultilevel"/>
    <w:tmpl w:val="2912F82C"/>
    <w:lvl w:ilvl="0" w:tplc="31362C50">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15632C"/>
    <w:multiLevelType w:val="hybridMultilevel"/>
    <w:tmpl w:val="CF50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num w:numId="1">
    <w:abstractNumId w:val="9"/>
  </w:num>
  <w:num w:numId="2">
    <w:abstractNumId w:val="34"/>
  </w:num>
  <w:num w:numId="3">
    <w:abstractNumId w:val="33"/>
  </w:num>
  <w:num w:numId="4">
    <w:abstractNumId w:val="27"/>
  </w:num>
  <w:num w:numId="5">
    <w:abstractNumId w:val="17"/>
  </w:num>
  <w:num w:numId="6">
    <w:abstractNumId w:val="7"/>
  </w:num>
  <w:num w:numId="7">
    <w:abstractNumId w:val="13"/>
  </w:num>
  <w:num w:numId="8">
    <w:abstractNumId w:val="15"/>
  </w:num>
  <w:num w:numId="9">
    <w:abstractNumId w:val="24"/>
  </w:num>
  <w:num w:numId="10">
    <w:abstractNumId w:val="21"/>
  </w:num>
  <w:num w:numId="11">
    <w:abstractNumId w:val="10"/>
  </w:num>
  <w:num w:numId="12">
    <w:abstractNumId w:val="29"/>
  </w:num>
  <w:num w:numId="13">
    <w:abstractNumId w:val="18"/>
  </w:num>
  <w:num w:numId="14">
    <w:abstractNumId w:val="36"/>
  </w:num>
  <w:num w:numId="15">
    <w:abstractNumId w:val="30"/>
  </w:num>
  <w:num w:numId="16">
    <w:abstractNumId w:val="4"/>
  </w:num>
  <w:num w:numId="17">
    <w:abstractNumId w:val="1"/>
  </w:num>
  <w:num w:numId="18">
    <w:abstractNumId w:val="35"/>
  </w:num>
  <w:num w:numId="19">
    <w:abstractNumId w:val="31"/>
  </w:num>
  <w:num w:numId="20">
    <w:abstractNumId w:val="3"/>
  </w:num>
  <w:num w:numId="21">
    <w:abstractNumId w:val="6"/>
  </w:num>
  <w:num w:numId="22">
    <w:abstractNumId w:val="8"/>
  </w:num>
  <w:num w:numId="23">
    <w:abstractNumId w:val="16"/>
  </w:num>
  <w:num w:numId="24">
    <w:abstractNumId w:val="26"/>
  </w:num>
  <w:num w:numId="25">
    <w:abstractNumId w:val="32"/>
  </w:num>
  <w:num w:numId="26">
    <w:abstractNumId w:val="28"/>
  </w:num>
  <w:num w:numId="27">
    <w:abstractNumId w:val="22"/>
  </w:num>
  <w:num w:numId="28">
    <w:abstractNumId w:val="14"/>
  </w:num>
  <w:num w:numId="29">
    <w:abstractNumId w:val="20"/>
  </w:num>
  <w:num w:numId="30">
    <w:abstractNumId w:val="12"/>
  </w:num>
  <w:num w:numId="31">
    <w:abstractNumId w:val="23"/>
  </w:num>
  <w:num w:numId="32">
    <w:abstractNumId w:val="25"/>
  </w:num>
  <w:num w:numId="33">
    <w:abstractNumId w:val="0"/>
  </w:num>
  <w:num w:numId="34">
    <w:abstractNumId w:val="5"/>
  </w:num>
  <w:num w:numId="35">
    <w:abstractNumId w:val="2"/>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FC"/>
    <w:rsid w:val="000214E3"/>
    <w:rsid w:val="00032274"/>
    <w:rsid w:val="000333D8"/>
    <w:rsid w:val="00091649"/>
    <w:rsid w:val="000B6BC2"/>
    <w:rsid w:val="000F3334"/>
    <w:rsid w:val="001010FC"/>
    <w:rsid w:val="00164FAB"/>
    <w:rsid w:val="001C4239"/>
    <w:rsid w:val="001E48B2"/>
    <w:rsid w:val="002420CB"/>
    <w:rsid w:val="00262575"/>
    <w:rsid w:val="00285BF6"/>
    <w:rsid w:val="00291316"/>
    <w:rsid w:val="002C43A6"/>
    <w:rsid w:val="002E126F"/>
    <w:rsid w:val="002F6D5C"/>
    <w:rsid w:val="0031049E"/>
    <w:rsid w:val="003178E4"/>
    <w:rsid w:val="003264B6"/>
    <w:rsid w:val="003838AC"/>
    <w:rsid w:val="00397391"/>
    <w:rsid w:val="003A2573"/>
    <w:rsid w:val="003F213E"/>
    <w:rsid w:val="003F57E0"/>
    <w:rsid w:val="004036EC"/>
    <w:rsid w:val="0043240C"/>
    <w:rsid w:val="004B3BF0"/>
    <w:rsid w:val="004B4292"/>
    <w:rsid w:val="004D20BB"/>
    <w:rsid w:val="004F367B"/>
    <w:rsid w:val="00594127"/>
    <w:rsid w:val="005A0A0A"/>
    <w:rsid w:val="005A43FF"/>
    <w:rsid w:val="005F1A78"/>
    <w:rsid w:val="00610507"/>
    <w:rsid w:val="00611E03"/>
    <w:rsid w:val="00644FFC"/>
    <w:rsid w:val="00692519"/>
    <w:rsid w:val="006A07C4"/>
    <w:rsid w:val="006A6319"/>
    <w:rsid w:val="006C2095"/>
    <w:rsid w:val="0071177A"/>
    <w:rsid w:val="007241A4"/>
    <w:rsid w:val="00733C87"/>
    <w:rsid w:val="007534E1"/>
    <w:rsid w:val="007A4670"/>
    <w:rsid w:val="008049A3"/>
    <w:rsid w:val="00844AEA"/>
    <w:rsid w:val="00861C69"/>
    <w:rsid w:val="00862995"/>
    <w:rsid w:val="00873408"/>
    <w:rsid w:val="0088566C"/>
    <w:rsid w:val="008876E3"/>
    <w:rsid w:val="008D22E2"/>
    <w:rsid w:val="00906739"/>
    <w:rsid w:val="00933E5A"/>
    <w:rsid w:val="0098732C"/>
    <w:rsid w:val="00995E78"/>
    <w:rsid w:val="009B272B"/>
    <w:rsid w:val="00A0177F"/>
    <w:rsid w:val="00A108A0"/>
    <w:rsid w:val="00A17605"/>
    <w:rsid w:val="00A410A7"/>
    <w:rsid w:val="00A745C3"/>
    <w:rsid w:val="00AA6EF1"/>
    <w:rsid w:val="00B54297"/>
    <w:rsid w:val="00B61BFD"/>
    <w:rsid w:val="00B75525"/>
    <w:rsid w:val="00B8731A"/>
    <w:rsid w:val="00BC00B0"/>
    <w:rsid w:val="00BC5133"/>
    <w:rsid w:val="00C41B0B"/>
    <w:rsid w:val="00C50071"/>
    <w:rsid w:val="00C57FBD"/>
    <w:rsid w:val="00C701CA"/>
    <w:rsid w:val="00CE19A0"/>
    <w:rsid w:val="00D12E53"/>
    <w:rsid w:val="00D32736"/>
    <w:rsid w:val="00D34C70"/>
    <w:rsid w:val="00D4798F"/>
    <w:rsid w:val="00D75EA2"/>
    <w:rsid w:val="00D814D6"/>
    <w:rsid w:val="00D87907"/>
    <w:rsid w:val="00E04398"/>
    <w:rsid w:val="00E11FE1"/>
    <w:rsid w:val="00E24128"/>
    <w:rsid w:val="00E2678A"/>
    <w:rsid w:val="00E54233"/>
    <w:rsid w:val="00F1129E"/>
    <w:rsid w:val="00F37E3F"/>
    <w:rsid w:val="00F960D7"/>
    <w:rsid w:val="00FA7B30"/>
    <w:rsid w:val="00FB7766"/>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51664366-3465-473F-A332-239B806E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FC"/>
  </w:style>
  <w:style w:type="paragraph" w:styleId="Footer">
    <w:name w:val="footer"/>
    <w:basedOn w:val="Normal"/>
    <w:link w:val="FooterChar"/>
    <w:uiPriority w:val="99"/>
    <w:unhideWhenUsed/>
    <w:rsid w:val="0064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FC"/>
  </w:style>
  <w:style w:type="paragraph" w:styleId="ListParagraph">
    <w:name w:val="List Paragraph"/>
    <w:basedOn w:val="Normal"/>
    <w:uiPriority w:val="34"/>
    <w:qFormat/>
    <w:rsid w:val="00644FFC"/>
    <w:pPr>
      <w:spacing w:after="0" w:line="240" w:lineRule="auto"/>
      <w:ind w:left="720"/>
      <w:contextualSpacing/>
    </w:pPr>
  </w:style>
  <w:style w:type="paragraph" w:customStyle="1" w:styleId="Calibri">
    <w:name w:val="Calibri"/>
    <w:basedOn w:val="Normal"/>
    <w:link w:val="CalibriChar"/>
    <w:qFormat/>
    <w:rsid w:val="005A0A0A"/>
    <w:pPr>
      <w:spacing w:after="0" w:line="240" w:lineRule="auto"/>
    </w:pPr>
    <w:rPr>
      <w:rFonts w:cs="Cambria Math"/>
      <w:b/>
      <w:sz w:val="18"/>
      <w:szCs w:val="18"/>
    </w:rPr>
  </w:style>
  <w:style w:type="character" w:customStyle="1" w:styleId="CalibriChar">
    <w:name w:val="Calibri Char"/>
    <w:basedOn w:val="DefaultParagraphFont"/>
    <w:link w:val="Calibri"/>
    <w:rsid w:val="005A0A0A"/>
    <w:rPr>
      <w:rFonts w:cs="Cambria Math"/>
      <w:b/>
      <w:sz w:val="18"/>
      <w:szCs w:val="18"/>
    </w:rPr>
  </w:style>
  <w:style w:type="paragraph" w:styleId="BalloonText">
    <w:name w:val="Balloon Text"/>
    <w:basedOn w:val="Normal"/>
    <w:link w:val="BalloonTextChar"/>
    <w:uiPriority w:val="99"/>
    <w:semiHidden/>
    <w:unhideWhenUsed/>
    <w:rsid w:val="00FB7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66"/>
    <w:rPr>
      <w:rFonts w:ascii="Segoe UI" w:hAnsi="Segoe UI" w:cs="Segoe UI"/>
      <w:sz w:val="18"/>
      <w:szCs w:val="18"/>
    </w:rPr>
  </w:style>
  <w:style w:type="paragraph" w:styleId="NormalWeb">
    <w:name w:val="Normal (Web)"/>
    <w:basedOn w:val="Normal"/>
    <w:uiPriority w:val="99"/>
    <w:unhideWhenUsed/>
    <w:rsid w:val="00AA6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5</cp:revision>
  <cp:lastPrinted>2018-07-30T17:09:00Z</cp:lastPrinted>
  <dcterms:created xsi:type="dcterms:W3CDTF">2019-12-19T00:56:00Z</dcterms:created>
  <dcterms:modified xsi:type="dcterms:W3CDTF">2020-01-30T21:35:00Z</dcterms:modified>
</cp:coreProperties>
</file>