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5FCA" w14:textId="52BE2E86" w:rsidR="005F6BB8" w:rsidRPr="00CD5D34" w:rsidRDefault="00293C6F" w:rsidP="00293C6F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D5D34">
        <w:rPr>
          <w:sz w:val="24"/>
          <w:szCs w:val="24"/>
        </w:rPr>
        <w:t xml:space="preserve">Four (4) weeks prior to each WorkSource Office monitoring entrance, ESD’s Data Solutions Team provides </w:t>
      </w:r>
      <w:r w:rsidR="008D5A1A" w:rsidRPr="00CD5D34">
        <w:rPr>
          <w:sz w:val="24"/>
          <w:szCs w:val="24"/>
        </w:rPr>
        <w:t xml:space="preserve">the </w:t>
      </w:r>
      <w:r w:rsidR="00CA1C94">
        <w:rPr>
          <w:sz w:val="24"/>
          <w:szCs w:val="24"/>
        </w:rPr>
        <w:t xml:space="preserve">Employment Security Department’s </w:t>
      </w:r>
      <w:r w:rsidR="00CA1C94" w:rsidRPr="002857BA">
        <w:rPr>
          <w:sz w:val="24"/>
          <w:szCs w:val="24"/>
        </w:rPr>
        <w:t xml:space="preserve">Monitoring Unit </w:t>
      </w:r>
      <w:r w:rsidR="00CA1C94">
        <w:rPr>
          <w:sz w:val="24"/>
          <w:szCs w:val="24"/>
        </w:rPr>
        <w:t>(ESD’s Monitoring Unit)</w:t>
      </w:r>
      <w:r w:rsidR="008D5A1A" w:rsidRPr="00CD5D34">
        <w:rPr>
          <w:sz w:val="24"/>
          <w:szCs w:val="24"/>
        </w:rPr>
        <w:t xml:space="preserve"> </w:t>
      </w:r>
      <w:r w:rsidRPr="00CD5D34">
        <w:rPr>
          <w:sz w:val="24"/>
          <w:szCs w:val="24"/>
        </w:rPr>
        <w:t>with a participant record table that assigns a random number to each record in the “</w:t>
      </w:r>
      <w:proofErr w:type="spellStart"/>
      <w:r w:rsidRPr="00CD5D34">
        <w:rPr>
          <w:sz w:val="24"/>
          <w:szCs w:val="24"/>
        </w:rPr>
        <w:t>rnum</w:t>
      </w:r>
      <w:proofErr w:type="spellEnd"/>
      <w:r w:rsidRPr="00CD5D34">
        <w:rPr>
          <w:sz w:val="24"/>
          <w:szCs w:val="24"/>
        </w:rPr>
        <w:t>” field. The table includes the PIRL data values to be validated against source documentation.</w:t>
      </w:r>
    </w:p>
    <w:p w14:paraId="62FDB5C8" w14:textId="77777777" w:rsidR="00293C6F" w:rsidRPr="00CD5D34" w:rsidRDefault="00293C6F" w:rsidP="00293C6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3A8FC78" w14:textId="6172282C" w:rsidR="000F50EF" w:rsidRPr="00CD5D34" w:rsidRDefault="002C53FE" w:rsidP="00030E9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D5D34">
        <w:rPr>
          <w:sz w:val="24"/>
          <w:szCs w:val="24"/>
        </w:rPr>
        <w:t>Sample size and methodology</w:t>
      </w:r>
      <w:r w:rsidR="003E7C36" w:rsidRPr="00CD5D34">
        <w:rPr>
          <w:sz w:val="24"/>
          <w:szCs w:val="24"/>
        </w:rPr>
        <w:t xml:space="preserve"> for Monitoring Visits to Workforce Development Areas: </w:t>
      </w:r>
      <w:r w:rsidR="000F50EF" w:rsidRPr="00CD5D34">
        <w:rPr>
          <w:sz w:val="24"/>
          <w:szCs w:val="24"/>
        </w:rPr>
        <w:t xml:space="preserve"> </w:t>
      </w:r>
      <w:r w:rsidR="00CA1C94">
        <w:rPr>
          <w:sz w:val="24"/>
          <w:szCs w:val="24"/>
        </w:rPr>
        <w:br/>
      </w:r>
    </w:p>
    <w:p w14:paraId="3B78A38D" w14:textId="32689B7E" w:rsidR="00622BA5" w:rsidRPr="00CD5D34" w:rsidRDefault="00645845" w:rsidP="00CA1C9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CD5D34">
        <w:rPr>
          <w:sz w:val="24"/>
          <w:szCs w:val="24"/>
        </w:rPr>
        <w:t>T</w:t>
      </w:r>
      <w:r w:rsidR="00622BA5" w:rsidRPr="00CD5D34">
        <w:rPr>
          <w:sz w:val="24"/>
          <w:szCs w:val="24"/>
        </w:rPr>
        <w:t xml:space="preserve">he sample will be pulled based on the Workforce Development Area and then a sample of at least </w:t>
      </w:r>
      <w:r w:rsidR="001D5B5E">
        <w:rPr>
          <w:sz w:val="24"/>
          <w:szCs w:val="24"/>
        </w:rPr>
        <w:t>1</w:t>
      </w:r>
      <w:r w:rsidR="00293C6F" w:rsidRPr="00CD5D34">
        <w:rPr>
          <w:sz w:val="24"/>
          <w:szCs w:val="24"/>
        </w:rPr>
        <w:t>5</w:t>
      </w:r>
      <w:r w:rsidR="00622BA5" w:rsidRPr="00CD5D34">
        <w:rPr>
          <w:sz w:val="24"/>
          <w:szCs w:val="24"/>
        </w:rPr>
        <w:t xml:space="preserve"> records from the offices selected for monitoring within the </w:t>
      </w:r>
      <w:r w:rsidR="0009026C" w:rsidRPr="00CD5D34">
        <w:rPr>
          <w:sz w:val="24"/>
          <w:szCs w:val="24"/>
        </w:rPr>
        <w:t>area,</w:t>
      </w:r>
      <w:r w:rsidR="00C739E6" w:rsidRPr="00CD5D34">
        <w:rPr>
          <w:sz w:val="24"/>
          <w:szCs w:val="24"/>
        </w:rPr>
        <w:t xml:space="preserve"> when </w:t>
      </w:r>
      <w:r w:rsidR="00CC39B5" w:rsidRPr="00CD5D34">
        <w:rPr>
          <w:sz w:val="24"/>
          <w:szCs w:val="24"/>
        </w:rPr>
        <w:t>possible,</w:t>
      </w:r>
      <w:r w:rsidR="00C739E6" w:rsidRPr="00CD5D34">
        <w:rPr>
          <w:sz w:val="24"/>
          <w:szCs w:val="24"/>
        </w:rPr>
        <w:t xml:space="preserve"> based on the sample</w:t>
      </w:r>
      <w:r w:rsidR="00622BA5" w:rsidRPr="00CD5D34">
        <w:rPr>
          <w:sz w:val="24"/>
          <w:szCs w:val="24"/>
        </w:rPr>
        <w:t xml:space="preserve">. These will include </w:t>
      </w:r>
      <w:r w:rsidR="00AA120A" w:rsidRPr="00CD5D34">
        <w:rPr>
          <w:sz w:val="24"/>
          <w:szCs w:val="24"/>
        </w:rPr>
        <w:t xml:space="preserve">at least 2 </w:t>
      </w:r>
      <w:r w:rsidR="00622BA5" w:rsidRPr="00CD5D34">
        <w:rPr>
          <w:sz w:val="24"/>
          <w:szCs w:val="24"/>
        </w:rPr>
        <w:t>M</w:t>
      </w:r>
      <w:r w:rsidR="001621EE" w:rsidRPr="00CD5D34">
        <w:rPr>
          <w:sz w:val="24"/>
          <w:szCs w:val="24"/>
        </w:rPr>
        <w:t xml:space="preserve">igrant </w:t>
      </w:r>
      <w:r w:rsidR="00622BA5" w:rsidRPr="00CD5D34">
        <w:rPr>
          <w:sz w:val="24"/>
          <w:szCs w:val="24"/>
        </w:rPr>
        <w:t>S</w:t>
      </w:r>
      <w:r w:rsidR="001621EE" w:rsidRPr="00CD5D34">
        <w:rPr>
          <w:sz w:val="24"/>
          <w:szCs w:val="24"/>
        </w:rPr>
        <w:t xml:space="preserve">easonal </w:t>
      </w:r>
      <w:r w:rsidR="00622BA5" w:rsidRPr="00CD5D34">
        <w:rPr>
          <w:sz w:val="24"/>
          <w:szCs w:val="24"/>
        </w:rPr>
        <w:t>F</w:t>
      </w:r>
      <w:r w:rsidR="001621EE" w:rsidRPr="00CD5D34">
        <w:rPr>
          <w:sz w:val="24"/>
          <w:szCs w:val="24"/>
        </w:rPr>
        <w:t xml:space="preserve">arm </w:t>
      </w:r>
      <w:r w:rsidR="00622BA5" w:rsidRPr="00CD5D34">
        <w:rPr>
          <w:sz w:val="24"/>
          <w:szCs w:val="24"/>
        </w:rPr>
        <w:t>W</w:t>
      </w:r>
      <w:r w:rsidR="001621EE" w:rsidRPr="00CD5D34">
        <w:rPr>
          <w:sz w:val="24"/>
          <w:szCs w:val="24"/>
        </w:rPr>
        <w:t>orker</w:t>
      </w:r>
      <w:r w:rsidR="00622BA5" w:rsidRPr="00CD5D34">
        <w:rPr>
          <w:sz w:val="24"/>
          <w:szCs w:val="24"/>
        </w:rPr>
        <w:t xml:space="preserve"> </w:t>
      </w:r>
      <w:r w:rsidR="00AA120A" w:rsidRPr="00CD5D34">
        <w:rPr>
          <w:sz w:val="24"/>
          <w:szCs w:val="24"/>
        </w:rPr>
        <w:t xml:space="preserve">records from </w:t>
      </w:r>
      <w:r w:rsidR="001621EE" w:rsidRPr="00CD5D34">
        <w:rPr>
          <w:sz w:val="24"/>
          <w:szCs w:val="24"/>
        </w:rPr>
        <w:t xml:space="preserve">the </w:t>
      </w:r>
      <w:r w:rsidR="00AA120A" w:rsidRPr="00CD5D34">
        <w:rPr>
          <w:sz w:val="24"/>
          <w:szCs w:val="24"/>
        </w:rPr>
        <w:t>office</w:t>
      </w:r>
      <w:r w:rsidR="00CA1C94">
        <w:rPr>
          <w:sz w:val="24"/>
          <w:szCs w:val="24"/>
        </w:rPr>
        <w:t>,</w:t>
      </w:r>
      <w:r w:rsidR="00AA120A" w:rsidRPr="00CD5D34">
        <w:rPr>
          <w:sz w:val="24"/>
          <w:szCs w:val="24"/>
        </w:rPr>
        <w:t xml:space="preserve"> </w:t>
      </w:r>
      <w:r w:rsidR="00622BA5" w:rsidRPr="00CD5D34">
        <w:rPr>
          <w:sz w:val="24"/>
          <w:szCs w:val="24"/>
        </w:rPr>
        <w:t xml:space="preserve">if available. </w:t>
      </w:r>
      <w:r w:rsidR="00CA1C94">
        <w:rPr>
          <w:sz w:val="24"/>
          <w:szCs w:val="24"/>
        </w:rPr>
        <w:br/>
      </w:r>
    </w:p>
    <w:p w14:paraId="6AF86680" w14:textId="027420C3" w:rsidR="009C29DA" w:rsidRPr="00CD5D34" w:rsidRDefault="002C53FE" w:rsidP="00CA1C9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CD5D34">
        <w:rPr>
          <w:sz w:val="24"/>
          <w:szCs w:val="24"/>
        </w:rPr>
        <w:t>The sample size methodology is based on a fixed number of participant records, the</w:t>
      </w:r>
      <w:r w:rsidR="00867D1F" w:rsidRPr="00CD5D34">
        <w:rPr>
          <w:sz w:val="24"/>
          <w:szCs w:val="24"/>
        </w:rPr>
        <w:t xml:space="preserve"> </w:t>
      </w:r>
      <w:r w:rsidRPr="00CD5D34">
        <w:rPr>
          <w:sz w:val="24"/>
          <w:szCs w:val="24"/>
        </w:rPr>
        <w:t xml:space="preserve">required data elements selected for review are identified on each </w:t>
      </w:r>
      <w:r w:rsidR="00C40E7D" w:rsidRPr="00CD5D34">
        <w:rPr>
          <w:sz w:val="24"/>
          <w:szCs w:val="24"/>
        </w:rPr>
        <w:t>PY2</w:t>
      </w:r>
      <w:r w:rsidR="004059E4" w:rsidRPr="00CD5D34">
        <w:rPr>
          <w:sz w:val="24"/>
          <w:szCs w:val="24"/>
        </w:rPr>
        <w:t>3</w:t>
      </w:r>
      <w:r w:rsidR="00622BA5" w:rsidRPr="00CD5D34">
        <w:rPr>
          <w:sz w:val="24"/>
          <w:szCs w:val="24"/>
        </w:rPr>
        <w:t xml:space="preserve"> </w:t>
      </w:r>
      <w:r w:rsidRPr="00CD5D34">
        <w:rPr>
          <w:sz w:val="24"/>
          <w:szCs w:val="24"/>
        </w:rPr>
        <w:t xml:space="preserve">Program </w:t>
      </w:r>
      <w:r w:rsidR="004059E4" w:rsidRPr="00CD5D34">
        <w:rPr>
          <w:sz w:val="24"/>
          <w:szCs w:val="24"/>
        </w:rPr>
        <w:t>DEV Worksheet</w:t>
      </w:r>
      <w:r w:rsidRPr="00CD5D34">
        <w:rPr>
          <w:sz w:val="24"/>
          <w:szCs w:val="24"/>
        </w:rPr>
        <w:t>, being reviewed per the resources available. The</w:t>
      </w:r>
      <w:r w:rsidR="00867D1F" w:rsidRPr="00CD5D34">
        <w:rPr>
          <w:sz w:val="24"/>
          <w:szCs w:val="24"/>
        </w:rPr>
        <w:t xml:space="preserve"> </w:t>
      </w:r>
      <w:r w:rsidRPr="00CD5D34">
        <w:rPr>
          <w:sz w:val="24"/>
          <w:szCs w:val="24"/>
        </w:rPr>
        <w:t>sample includes a mix of active and exited participant records.</w:t>
      </w:r>
    </w:p>
    <w:p w14:paraId="37D9B737" w14:textId="77777777" w:rsidR="009C29DA" w:rsidRPr="00CD5D34" w:rsidRDefault="009C29DA" w:rsidP="009C29DA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14:paraId="631C65ED" w14:textId="650BA903" w:rsidR="0031022B" w:rsidRPr="000D2AFE" w:rsidRDefault="005F6BB8" w:rsidP="0031022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D5D34">
        <w:rPr>
          <w:rFonts w:eastAsia="Times New Roman"/>
          <w:sz w:val="24"/>
          <w:szCs w:val="24"/>
        </w:rPr>
        <w:t xml:space="preserve">ESD’s Data Integrity team </w:t>
      </w:r>
      <w:r w:rsidR="0031022B" w:rsidRPr="00CD5D34">
        <w:rPr>
          <w:rFonts w:eastAsia="Times New Roman"/>
          <w:sz w:val="24"/>
          <w:szCs w:val="24"/>
        </w:rPr>
        <w:t xml:space="preserve">samples and validates </w:t>
      </w:r>
      <w:r w:rsidRPr="00CD5D34">
        <w:rPr>
          <w:rFonts w:eastAsia="Times New Roman"/>
          <w:sz w:val="24"/>
          <w:szCs w:val="24"/>
        </w:rPr>
        <w:t xml:space="preserve">the following data elements: 1600-1607; 1614-1618 (1610, 1612, and 1613 elements are not being populated </w:t>
      </w:r>
      <w:proofErr w:type="gramStart"/>
      <w:r w:rsidRPr="00CD5D34">
        <w:rPr>
          <w:rFonts w:eastAsia="Times New Roman"/>
          <w:sz w:val="24"/>
          <w:szCs w:val="24"/>
        </w:rPr>
        <w:t>at this time</w:t>
      </w:r>
      <w:proofErr w:type="gramEnd"/>
      <w:r w:rsidRPr="00CD5D34">
        <w:rPr>
          <w:rFonts w:eastAsia="Times New Roman"/>
          <w:sz w:val="24"/>
          <w:szCs w:val="24"/>
        </w:rPr>
        <w:t>); 1700-</w:t>
      </w:r>
      <w:r w:rsidRPr="000D2AFE">
        <w:rPr>
          <w:rFonts w:eastAsia="Times New Roman"/>
          <w:sz w:val="24"/>
          <w:szCs w:val="24"/>
        </w:rPr>
        <w:t>1706</w:t>
      </w:r>
      <w:r w:rsidR="0031022B" w:rsidRPr="000D2AFE">
        <w:rPr>
          <w:rFonts w:eastAsia="Times New Roman"/>
          <w:sz w:val="24"/>
          <w:szCs w:val="24"/>
        </w:rPr>
        <w:t xml:space="preserve"> through their own process</w:t>
      </w:r>
      <w:r w:rsidRPr="000D2AFE">
        <w:rPr>
          <w:rFonts w:eastAsia="Times New Roman"/>
          <w:sz w:val="24"/>
          <w:szCs w:val="24"/>
        </w:rPr>
        <w:t xml:space="preserve">. </w:t>
      </w:r>
      <w:r w:rsidR="00CA1C94" w:rsidRPr="000D2AFE">
        <w:rPr>
          <w:rFonts w:eastAsia="Times New Roman"/>
          <w:sz w:val="24"/>
          <w:szCs w:val="24"/>
        </w:rPr>
        <w:t>ESD’s Monitoring Unit</w:t>
      </w:r>
      <w:r w:rsidRPr="000D2AFE">
        <w:rPr>
          <w:rFonts w:eastAsia="Times New Roman"/>
          <w:sz w:val="24"/>
          <w:szCs w:val="24"/>
        </w:rPr>
        <w:t xml:space="preserve"> validates all other data elements as identified in each program’s DEV Worksheet.</w:t>
      </w:r>
    </w:p>
    <w:p w14:paraId="3AB5D646" w14:textId="77777777" w:rsidR="004059E4" w:rsidRPr="000D2AFE" w:rsidRDefault="004059E4" w:rsidP="004059E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EFA1F86" w14:textId="77777777" w:rsidR="000D2AFE" w:rsidRDefault="002C53FE" w:rsidP="000D2A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D2AFE">
        <w:rPr>
          <w:sz w:val="24"/>
          <w:szCs w:val="24"/>
        </w:rPr>
        <w:t>Timelines and documentation of error resolution:</w:t>
      </w:r>
    </w:p>
    <w:p w14:paraId="6C983A48" w14:textId="77777777" w:rsidR="000D2AFE" w:rsidRPr="000D2AFE" w:rsidRDefault="000D2AFE" w:rsidP="000D2AFE">
      <w:pPr>
        <w:pStyle w:val="ListParagraph"/>
        <w:rPr>
          <w:rFonts w:eastAsia="Times New Roman"/>
          <w:sz w:val="24"/>
          <w:szCs w:val="24"/>
        </w:rPr>
      </w:pPr>
    </w:p>
    <w:p w14:paraId="57A066E0" w14:textId="376A40B0" w:rsidR="0056116B" w:rsidRPr="000D2AFE" w:rsidRDefault="00C40CE0" w:rsidP="000D2AFE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0D2AFE">
        <w:rPr>
          <w:rFonts w:eastAsia="Times New Roman"/>
          <w:sz w:val="24"/>
          <w:szCs w:val="24"/>
        </w:rPr>
        <w:t>ESD’s Monitoring Unit</w:t>
      </w:r>
      <w:r w:rsidR="0031022B" w:rsidRPr="000D2AFE">
        <w:rPr>
          <w:sz w:val="24"/>
          <w:szCs w:val="24"/>
        </w:rPr>
        <w:t xml:space="preserve"> utilizes the DEV Worksheet for the review process to identify passes and failures the Office, </w:t>
      </w:r>
      <w:r w:rsidR="001621EE" w:rsidRPr="000D2AFE">
        <w:rPr>
          <w:sz w:val="24"/>
          <w:szCs w:val="24"/>
        </w:rPr>
        <w:t xml:space="preserve">Employment Connections (EC) </w:t>
      </w:r>
      <w:r w:rsidR="0031022B" w:rsidRPr="000D2AFE">
        <w:rPr>
          <w:sz w:val="24"/>
          <w:szCs w:val="24"/>
        </w:rPr>
        <w:t xml:space="preserve">Program Operations, </w:t>
      </w:r>
      <w:r w:rsidR="001621EE" w:rsidRPr="000D2AFE">
        <w:rPr>
          <w:sz w:val="24"/>
          <w:szCs w:val="24"/>
        </w:rPr>
        <w:t>Data Architecture, Transformation, and Analytics Division (DATA), and Information Technology Services Division (ITSD)</w:t>
      </w:r>
      <w:r w:rsidR="0031022B" w:rsidRPr="000D2AFE">
        <w:rPr>
          <w:sz w:val="24"/>
          <w:szCs w:val="24"/>
        </w:rPr>
        <w:t xml:space="preserve">. </w:t>
      </w:r>
      <w:r w:rsidR="00CA1C94" w:rsidRPr="000D2AFE">
        <w:rPr>
          <w:rFonts w:eastAsia="Times New Roman"/>
          <w:sz w:val="24"/>
          <w:szCs w:val="24"/>
        </w:rPr>
        <w:t>ESD’s Monitoring Unit</w:t>
      </w:r>
      <w:r w:rsidR="00B11EA5" w:rsidRPr="000D2AFE">
        <w:rPr>
          <w:sz w:val="24"/>
          <w:szCs w:val="24"/>
        </w:rPr>
        <w:t xml:space="preserve"> </w:t>
      </w:r>
      <w:r w:rsidR="0031022B" w:rsidRPr="000D2AFE">
        <w:rPr>
          <w:sz w:val="24"/>
          <w:szCs w:val="24"/>
        </w:rPr>
        <w:t>will summarize the results on a D</w:t>
      </w:r>
      <w:r w:rsidR="004059E4" w:rsidRPr="000D2AFE">
        <w:rPr>
          <w:sz w:val="24"/>
          <w:szCs w:val="24"/>
        </w:rPr>
        <w:t>ata Element Validation (D</w:t>
      </w:r>
      <w:r w:rsidR="0031022B" w:rsidRPr="000D2AFE">
        <w:rPr>
          <w:sz w:val="24"/>
          <w:szCs w:val="24"/>
        </w:rPr>
        <w:t>EV</w:t>
      </w:r>
      <w:r w:rsidR="004059E4" w:rsidRPr="000D2AFE">
        <w:rPr>
          <w:sz w:val="24"/>
          <w:szCs w:val="24"/>
        </w:rPr>
        <w:t>)</w:t>
      </w:r>
      <w:r w:rsidR="0031022B" w:rsidRPr="000D2AFE">
        <w:rPr>
          <w:sz w:val="24"/>
          <w:szCs w:val="24"/>
        </w:rPr>
        <w:t xml:space="preserve"> Action Item Worksheet</w:t>
      </w:r>
      <w:r w:rsidR="001621EE" w:rsidRPr="000D2AFE">
        <w:rPr>
          <w:sz w:val="24"/>
          <w:szCs w:val="24"/>
        </w:rPr>
        <w:t>.</w:t>
      </w:r>
      <w:r w:rsidR="001621EE" w:rsidRPr="000D2AFE">
        <w:rPr>
          <w:sz w:val="24"/>
          <w:szCs w:val="24"/>
          <w:highlight w:val="yellow"/>
        </w:rPr>
        <w:t xml:space="preserve"> </w:t>
      </w:r>
    </w:p>
    <w:p w14:paraId="2E896DFB" w14:textId="77777777" w:rsidR="009C29DA" w:rsidRPr="00CD5D34" w:rsidRDefault="009C29DA" w:rsidP="009C29D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1BB02E4" w14:textId="434A5AE1" w:rsidR="00D85695" w:rsidRPr="00CD5D34" w:rsidRDefault="00D85695" w:rsidP="00CD5D34">
      <w:pPr>
        <w:pStyle w:val="ListParagraph"/>
        <w:ind w:left="1440" w:hanging="360"/>
        <w:rPr>
          <w:sz w:val="24"/>
          <w:szCs w:val="24"/>
        </w:rPr>
      </w:pPr>
      <w:r w:rsidRPr="00CD5D34">
        <w:rPr>
          <w:sz w:val="24"/>
          <w:szCs w:val="24"/>
        </w:rPr>
        <w:t xml:space="preserve">Standardized language to explain record failure for an element:  </w:t>
      </w:r>
      <w:r w:rsidR="000E51F5">
        <w:rPr>
          <w:sz w:val="24"/>
          <w:szCs w:val="24"/>
        </w:rPr>
        <w:br/>
      </w:r>
    </w:p>
    <w:p w14:paraId="4E6A9621" w14:textId="7A257F64" w:rsidR="00D85695" w:rsidRPr="00CD5D34" w:rsidRDefault="00D85695" w:rsidP="00CD5D34">
      <w:pPr>
        <w:pStyle w:val="ListParagraph"/>
        <w:numPr>
          <w:ilvl w:val="0"/>
          <w:numId w:val="24"/>
        </w:numPr>
        <w:rPr>
          <w:sz w:val="24"/>
          <w:szCs w:val="24"/>
        </w:rPr>
      </w:pPr>
      <w:bookmarkStart w:id="0" w:name="_Hlk81561710"/>
      <w:r w:rsidRPr="00CD5D34">
        <w:rPr>
          <w:sz w:val="24"/>
          <w:szCs w:val="24"/>
        </w:rPr>
        <w:t>No source documentation located</w:t>
      </w:r>
    </w:p>
    <w:bookmarkEnd w:id="0"/>
    <w:p w14:paraId="6A0E5DC2" w14:textId="77777777" w:rsidR="00D85695" w:rsidRPr="00CD5D34" w:rsidRDefault="00D85695" w:rsidP="00CD5D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D5D34">
        <w:rPr>
          <w:sz w:val="24"/>
          <w:szCs w:val="24"/>
        </w:rPr>
        <w:t>Documentation located, unallowable source</w:t>
      </w:r>
    </w:p>
    <w:p w14:paraId="442FB949" w14:textId="77777777" w:rsidR="00D85695" w:rsidRPr="00CD5D34" w:rsidRDefault="00D85695" w:rsidP="00CD5D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D5D34">
        <w:rPr>
          <w:sz w:val="24"/>
          <w:szCs w:val="24"/>
        </w:rPr>
        <w:t>Documentation located, unreadable</w:t>
      </w:r>
    </w:p>
    <w:p w14:paraId="75E40F3E" w14:textId="77777777" w:rsidR="00D85695" w:rsidRPr="00CD5D34" w:rsidRDefault="00D85695" w:rsidP="00CD5D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D5D34">
        <w:rPr>
          <w:sz w:val="24"/>
          <w:szCs w:val="24"/>
        </w:rPr>
        <w:t>Documentation located, inaccurately recorded data</w:t>
      </w:r>
    </w:p>
    <w:p w14:paraId="4929A2AD" w14:textId="77777777" w:rsidR="00D85695" w:rsidRPr="00CD5D34" w:rsidRDefault="00D85695" w:rsidP="00CD5D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D5D34">
        <w:rPr>
          <w:sz w:val="24"/>
          <w:szCs w:val="24"/>
        </w:rPr>
        <w:t>Documentation located, data was not recorded</w:t>
      </w:r>
    </w:p>
    <w:p w14:paraId="5D52A914" w14:textId="77777777" w:rsidR="00D85695" w:rsidRPr="00CD5D34" w:rsidRDefault="00D85695" w:rsidP="00CD5D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D5D34">
        <w:rPr>
          <w:sz w:val="24"/>
          <w:szCs w:val="24"/>
        </w:rPr>
        <w:t>Documentation located, inconsistent with other documentation</w:t>
      </w:r>
    </w:p>
    <w:p w14:paraId="472D4320" w14:textId="77777777" w:rsidR="00D85695" w:rsidRPr="00CD5D34" w:rsidRDefault="00D85695" w:rsidP="00CD5D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D5D34">
        <w:rPr>
          <w:sz w:val="24"/>
          <w:szCs w:val="24"/>
        </w:rPr>
        <w:t>MIS system issue</w:t>
      </w:r>
    </w:p>
    <w:p w14:paraId="0FA1EB58" w14:textId="77777777" w:rsidR="00B07BA0" w:rsidRDefault="00CB2D0B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757D3456" w14:textId="342E7934" w:rsidR="00CB2D0B" w:rsidRPr="00CD5D34" w:rsidRDefault="002D54BC" w:rsidP="00CD5D34">
      <w:pPr>
        <w:pStyle w:val="ListParagraph"/>
        <w:ind w:left="1440" w:hanging="360"/>
        <w:rPr>
          <w:sz w:val="24"/>
          <w:szCs w:val="24"/>
        </w:rPr>
      </w:pPr>
      <w:r w:rsidRPr="001D5B5E">
        <w:rPr>
          <w:sz w:val="24"/>
          <w:szCs w:val="24"/>
        </w:rPr>
        <w:lastRenderedPageBreak/>
        <w:t>Corresponding a</w:t>
      </w:r>
      <w:r w:rsidR="00CB2D0B" w:rsidRPr="001D5B5E">
        <w:rPr>
          <w:sz w:val="24"/>
          <w:szCs w:val="24"/>
        </w:rPr>
        <w:t>ctions</w:t>
      </w:r>
      <w:r w:rsidR="00CB2D0B" w:rsidRPr="00CB2D0B">
        <w:rPr>
          <w:sz w:val="24"/>
          <w:szCs w:val="24"/>
        </w:rPr>
        <w:t xml:space="preserve"> required to correct errors by type of failure:</w:t>
      </w:r>
      <w:r w:rsidR="00CB2D0B" w:rsidRPr="00CD5D34">
        <w:rPr>
          <w:sz w:val="24"/>
          <w:szCs w:val="24"/>
        </w:rPr>
        <w:t xml:space="preserve">  </w:t>
      </w:r>
      <w:r w:rsidR="000E51F5">
        <w:rPr>
          <w:sz w:val="24"/>
          <w:szCs w:val="24"/>
        </w:rPr>
        <w:br/>
      </w:r>
    </w:p>
    <w:p w14:paraId="15C67A5D" w14:textId="77777777" w:rsidR="0007140D" w:rsidRPr="00CD5D34" w:rsidRDefault="0007140D" w:rsidP="00CD5D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D5D34">
        <w:rPr>
          <w:sz w:val="24"/>
          <w:szCs w:val="24"/>
        </w:rPr>
        <w:t xml:space="preserve">Locate or attempt to collect missing source documentation </w:t>
      </w:r>
    </w:p>
    <w:p w14:paraId="63CE87B6" w14:textId="602B0A64" w:rsidR="00D85695" w:rsidRPr="00CD5D34" w:rsidRDefault="00D85695" w:rsidP="00CD5D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D5D34">
        <w:rPr>
          <w:sz w:val="24"/>
          <w:szCs w:val="24"/>
        </w:rPr>
        <w:t>Locate or attempt to collect allowable source documentation</w:t>
      </w:r>
    </w:p>
    <w:p w14:paraId="05393D78" w14:textId="77777777" w:rsidR="00D85695" w:rsidRPr="00CD5D34" w:rsidRDefault="00D85695" w:rsidP="00CD5D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D5D34">
        <w:rPr>
          <w:sz w:val="24"/>
          <w:szCs w:val="24"/>
        </w:rPr>
        <w:t>Locate or attempt to collect a readable copy of source documentation</w:t>
      </w:r>
    </w:p>
    <w:p w14:paraId="7FF7CABB" w14:textId="77777777" w:rsidR="00D85695" w:rsidRPr="00CD5D34" w:rsidRDefault="00D85695" w:rsidP="00CD5D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D5D34">
        <w:rPr>
          <w:sz w:val="24"/>
          <w:szCs w:val="24"/>
        </w:rPr>
        <w:t xml:space="preserve">Correct the inaccurately recorded data </w:t>
      </w:r>
    </w:p>
    <w:p w14:paraId="6029533B" w14:textId="77777777" w:rsidR="00D85695" w:rsidRPr="00CD5D34" w:rsidRDefault="00D85695" w:rsidP="00CD5D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D5D34">
        <w:rPr>
          <w:sz w:val="24"/>
          <w:szCs w:val="24"/>
        </w:rPr>
        <w:t>Record the missing data</w:t>
      </w:r>
    </w:p>
    <w:p w14:paraId="2C6ADC78" w14:textId="77777777" w:rsidR="00D85695" w:rsidRPr="00CD5D34" w:rsidRDefault="00D85695" w:rsidP="00CD5D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D5D34">
        <w:rPr>
          <w:sz w:val="24"/>
          <w:szCs w:val="24"/>
        </w:rPr>
        <w:t>Resolve the inconsistency and ensure accuracy of data and/or source documentation appropriately</w:t>
      </w:r>
    </w:p>
    <w:p w14:paraId="1A98BFDD" w14:textId="498C9630" w:rsidR="00D85695" w:rsidRPr="00CD5D34" w:rsidRDefault="00D85695" w:rsidP="00CD5D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D5D34">
        <w:rPr>
          <w:sz w:val="24"/>
          <w:szCs w:val="24"/>
        </w:rPr>
        <w:t xml:space="preserve">ESD’s ITSD and Data Integrity Team will </w:t>
      </w:r>
      <w:r w:rsidR="0009026C" w:rsidRPr="00CD5D34">
        <w:rPr>
          <w:sz w:val="24"/>
          <w:szCs w:val="24"/>
        </w:rPr>
        <w:t>investigate</w:t>
      </w:r>
      <w:r w:rsidRPr="00CD5D34">
        <w:rPr>
          <w:sz w:val="24"/>
          <w:szCs w:val="24"/>
        </w:rPr>
        <w:t xml:space="preserve"> the root cause and work towards resolution of the MIS system issue. </w:t>
      </w:r>
    </w:p>
    <w:p w14:paraId="4227CCD4" w14:textId="77777777" w:rsidR="00D85695" w:rsidRPr="00CD5D34" w:rsidRDefault="00D85695" w:rsidP="00D85695">
      <w:pPr>
        <w:pStyle w:val="ListParagraph"/>
        <w:ind w:left="2160"/>
        <w:rPr>
          <w:sz w:val="24"/>
          <w:szCs w:val="24"/>
        </w:rPr>
      </w:pPr>
    </w:p>
    <w:p w14:paraId="19069A9C" w14:textId="368D7F38" w:rsidR="00EB18B4" w:rsidRPr="00CD5D34" w:rsidRDefault="00EB18B4" w:rsidP="000D2AF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D5B5E">
        <w:rPr>
          <w:sz w:val="24"/>
          <w:szCs w:val="24"/>
        </w:rPr>
        <w:t xml:space="preserve">The local WorkSource Office </w:t>
      </w:r>
      <w:r w:rsidR="002D54BC" w:rsidRPr="001D5B5E">
        <w:rPr>
          <w:sz w:val="24"/>
          <w:szCs w:val="24"/>
        </w:rPr>
        <w:t xml:space="preserve">leadership </w:t>
      </w:r>
      <w:r w:rsidRPr="001D5B5E">
        <w:rPr>
          <w:sz w:val="24"/>
          <w:szCs w:val="24"/>
        </w:rPr>
        <w:t xml:space="preserve">will have </w:t>
      </w:r>
      <w:r w:rsidRPr="001D5B5E">
        <w:rPr>
          <w:sz w:val="24"/>
          <w:szCs w:val="24"/>
          <w:u w:val="single"/>
        </w:rPr>
        <w:t>30 business days</w:t>
      </w:r>
      <w:r w:rsidRPr="001D5B5E">
        <w:rPr>
          <w:sz w:val="24"/>
          <w:szCs w:val="24"/>
        </w:rPr>
        <w:t xml:space="preserve"> from the day they receive their DEV </w:t>
      </w:r>
      <w:r w:rsidR="002E32DC" w:rsidRPr="001D5B5E">
        <w:rPr>
          <w:sz w:val="24"/>
          <w:szCs w:val="24"/>
        </w:rPr>
        <w:t xml:space="preserve">Action Items </w:t>
      </w:r>
      <w:r w:rsidRPr="001D5B5E">
        <w:rPr>
          <w:sz w:val="24"/>
          <w:szCs w:val="24"/>
        </w:rPr>
        <w:t xml:space="preserve">worksheet to respond. </w:t>
      </w:r>
      <w:r w:rsidR="002E32DC" w:rsidRPr="001D5B5E">
        <w:rPr>
          <w:rStyle w:val="ui-provider"/>
          <w:sz w:val="24"/>
          <w:szCs w:val="24"/>
        </w:rPr>
        <w:t xml:space="preserve">The office </w:t>
      </w:r>
      <w:r w:rsidR="002D54BC" w:rsidRPr="001D5B5E">
        <w:rPr>
          <w:rStyle w:val="ui-provider"/>
          <w:sz w:val="24"/>
          <w:szCs w:val="24"/>
        </w:rPr>
        <w:t>leadership</w:t>
      </w:r>
      <w:r w:rsidR="002D54BC">
        <w:rPr>
          <w:rStyle w:val="ui-provider"/>
          <w:sz w:val="24"/>
          <w:szCs w:val="24"/>
        </w:rPr>
        <w:t xml:space="preserve"> </w:t>
      </w:r>
      <w:r w:rsidR="002E32DC" w:rsidRPr="00CD5D34">
        <w:rPr>
          <w:rStyle w:val="ui-provider"/>
          <w:sz w:val="24"/>
          <w:szCs w:val="24"/>
        </w:rPr>
        <w:t xml:space="preserve">will be required to resolve the individual participant items identified. The overall </w:t>
      </w:r>
      <w:r w:rsidRPr="00CD5D34">
        <w:rPr>
          <w:sz w:val="24"/>
          <w:szCs w:val="24"/>
        </w:rPr>
        <w:t xml:space="preserve">DEV failures are </w:t>
      </w:r>
      <w:r w:rsidR="002E32DC" w:rsidRPr="00CD5D34">
        <w:rPr>
          <w:sz w:val="24"/>
          <w:szCs w:val="24"/>
        </w:rPr>
        <w:t xml:space="preserve">also </w:t>
      </w:r>
      <w:r w:rsidRPr="00CD5D34">
        <w:rPr>
          <w:sz w:val="24"/>
          <w:szCs w:val="24"/>
        </w:rPr>
        <w:t xml:space="preserve">outlined </w:t>
      </w:r>
      <w:r w:rsidR="002E32DC" w:rsidRPr="00CD5D34">
        <w:rPr>
          <w:sz w:val="24"/>
          <w:szCs w:val="24"/>
        </w:rPr>
        <w:t>in the DEV Action Items Worksheet. This worksheet</w:t>
      </w:r>
      <w:r w:rsidRPr="00CD5D34">
        <w:rPr>
          <w:sz w:val="24"/>
          <w:szCs w:val="24"/>
        </w:rPr>
        <w:t xml:space="preserve"> is used to document and communicate resolutions, reasons for failure to resolve an element. Trending items may require a corrective action plan.</w:t>
      </w:r>
      <w:r w:rsidR="00CA1C94">
        <w:rPr>
          <w:sz w:val="24"/>
          <w:szCs w:val="24"/>
        </w:rPr>
        <w:br/>
      </w:r>
    </w:p>
    <w:p w14:paraId="52EEA8D6" w14:textId="4D94E0C1" w:rsidR="0031022B" w:rsidRPr="00CD5D34" w:rsidRDefault="00A73AA1" w:rsidP="000D2A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D5D34">
        <w:rPr>
          <w:sz w:val="24"/>
          <w:szCs w:val="24"/>
        </w:rPr>
        <w:t xml:space="preserve">Office Corrective Action Plan Determination Process for PY2023-Due to </w:t>
      </w:r>
      <w:r w:rsidR="00525021" w:rsidRPr="00CD5D34">
        <w:rPr>
          <w:sz w:val="24"/>
          <w:szCs w:val="24"/>
        </w:rPr>
        <w:t xml:space="preserve">the </w:t>
      </w:r>
      <w:r w:rsidRPr="00CD5D34">
        <w:rPr>
          <w:sz w:val="24"/>
          <w:szCs w:val="24"/>
        </w:rPr>
        <w:t>PY22 Corrective Action Plan with Wagner-Peyser Program Operations/Employment Connections Leadership, there are some additional considerations for determining if an office will complete a Corrective Action Plan. T</w:t>
      </w:r>
      <w:r w:rsidR="009F27F2" w:rsidRPr="00CD5D34">
        <w:rPr>
          <w:sz w:val="24"/>
          <w:szCs w:val="24"/>
        </w:rPr>
        <w:t xml:space="preserve">he Full Registration training </w:t>
      </w:r>
      <w:r w:rsidRPr="00CD5D34">
        <w:rPr>
          <w:sz w:val="24"/>
          <w:szCs w:val="24"/>
        </w:rPr>
        <w:t>was a key resolution for</w:t>
      </w:r>
      <w:r w:rsidR="009F27F2" w:rsidRPr="00CD5D34">
        <w:rPr>
          <w:sz w:val="24"/>
          <w:szCs w:val="24"/>
        </w:rPr>
        <w:t xml:space="preserve"> the cause of PY22 Overall</w:t>
      </w:r>
      <w:r w:rsidR="00525021" w:rsidRPr="00CD5D34">
        <w:rPr>
          <w:sz w:val="24"/>
          <w:szCs w:val="24"/>
        </w:rPr>
        <w:t xml:space="preserve"> Date</w:t>
      </w:r>
      <w:r w:rsidR="009F27F2" w:rsidRPr="00CD5D34">
        <w:rPr>
          <w:sz w:val="24"/>
          <w:szCs w:val="24"/>
        </w:rPr>
        <w:t xml:space="preserve"> Element Failures. Th</w:t>
      </w:r>
      <w:r w:rsidRPr="00CD5D34">
        <w:rPr>
          <w:sz w:val="24"/>
          <w:szCs w:val="24"/>
        </w:rPr>
        <w:t xml:space="preserve">e Full Registration </w:t>
      </w:r>
      <w:r w:rsidR="009F27F2" w:rsidRPr="00CD5D34">
        <w:rPr>
          <w:sz w:val="24"/>
          <w:szCs w:val="24"/>
        </w:rPr>
        <w:t xml:space="preserve">training was expected to be completed by all </w:t>
      </w:r>
      <w:r w:rsidRPr="00CD5D34">
        <w:rPr>
          <w:sz w:val="24"/>
          <w:szCs w:val="24"/>
        </w:rPr>
        <w:t xml:space="preserve">Employment Connections </w:t>
      </w:r>
      <w:r w:rsidR="009F27F2" w:rsidRPr="00CD5D34">
        <w:rPr>
          <w:sz w:val="24"/>
          <w:szCs w:val="24"/>
        </w:rPr>
        <w:t xml:space="preserve">staff by October 1, 2023. </w:t>
      </w:r>
      <w:r w:rsidRPr="00CD5D34">
        <w:rPr>
          <w:sz w:val="24"/>
          <w:szCs w:val="24"/>
        </w:rPr>
        <w:t>In order to allow implementation of this resolution, a</w:t>
      </w:r>
      <w:r w:rsidR="009F27F2" w:rsidRPr="00CD5D34">
        <w:rPr>
          <w:sz w:val="24"/>
          <w:szCs w:val="24"/>
        </w:rPr>
        <w:t xml:space="preserve">ny files selected with a triggering service date prior to </w:t>
      </w:r>
      <w:r w:rsidR="00525021" w:rsidRPr="00CD5D34">
        <w:rPr>
          <w:sz w:val="24"/>
          <w:szCs w:val="24"/>
        </w:rPr>
        <w:t xml:space="preserve">or on </w:t>
      </w:r>
      <w:r w:rsidR="009F27F2" w:rsidRPr="00CD5D34">
        <w:rPr>
          <w:sz w:val="24"/>
          <w:szCs w:val="24"/>
        </w:rPr>
        <w:t xml:space="preserve">December 31, </w:t>
      </w:r>
      <w:proofErr w:type="gramStart"/>
      <w:r w:rsidR="009F27F2" w:rsidRPr="00CD5D34">
        <w:rPr>
          <w:sz w:val="24"/>
          <w:szCs w:val="24"/>
        </w:rPr>
        <w:t>2023</w:t>
      </w:r>
      <w:proofErr w:type="gramEnd"/>
      <w:r w:rsidR="009F27F2" w:rsidRPr="00CD5D34">
        <w:rPr>
          <w:sz w:val="24"/>
          <w:szCs w:val="24"/>
        </w:rPr>
        <w:t xml:space="preserve"> will not be factored into the calculation for known Data Element Validation Overall Element Failures. </w:t>
      </w:r>
      <w:r w:rsidR="00C62112" w:rsidRPr="00292FE5">
        <w:rPr>
          <w:rFonts w:eastAsia="Times New Roman"/>
          <w:sz w:val="24"/>
          <w:szCs w:val="24"/>
        </w:rPr>
        <w:t>ESD’s Monitoring Unit</w:t>
      </w:r>
      <w:r w:rsidR="0004586C" w:rsidRPr="00CD5D34">
        <w:rPr>
          <w:sz w:val="24"/>
          <w:szCs w:val="24"/>
        </w:rPr>
        <w:t xml:space="preserve"> will determine if a CAP is warranted based on</w:t>
      </w:r>
      <w:r w:rsidR="009F27F2" w:rsidRPr="00CD5D34">
        <w:rPr>
          <w:sz w:val="24"/>
          <w:szCs w:val="24"/>
        </w:rPr>
        <w:t xml:space="preserve"> files after this date in alignment with the 20% programmatic pass/fail ratio as prescribed in ESD Policy 1003, </w:t>
      </w:r>
      <w:r w:rsidR="009F27F2" w:rsidRPr="001D5B5E">
        <w:rPr>
          <w:sz w:val="24"/>
          <w:szCs w:val="24"/>
        </w:rPr>
        <w:t>Rev 5.</w:t>
      </w:r>
      <w:r w:rsidR="00CA1C94">
        <w:rPr>
          <w:sz w:val="24"/>
          <w:szCs w:val="24"/>
        </w:rPr>
        <w:br/>
      </w:r>
    </w:p>
    <w:p w14:paraId="48266271" w14:textId="06D4DA0E" w:rsidR="001D7D01" w:rsidRPr="00CD5D34" w:rsidRDefault="00236A5C" w:rsidP="000D2AF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D5D34">
        <w:rPr>
          <w:sz w:val="24"/>
          <w:szCs w:val="24"/>
        </w:rPr>
        <w:t>On a quarterly basis, an informal review of overall DEV element pass/fail results will be provided for the EC Program Operations, ITSD</w:t>
      </w:r>
      <w:r w:rsidR="000D2AFE">
        <w:rPr>
          <w:sz w:val="24"/>
          <w:szCs w:val="24"/>
        </w:rPr>
        <w:t xml:space="preserve">, and </w:t>
      </w:r>
      <w:r w:rsidRPr="00CD5D34">
        <w:rPr>
          <w:sz w:val="24"/>
          <w:szCs w:val="24"/>
        </w:rPr>
        <w:t xml:space="preserve">DATA Division. The data Element pass/fail column in the DEV Worksheet indicates whether each data element passed or failed based on exceeding the 20% programmatic pass/fail ratio as prescribed in ESD Policy 1003, </w:t>
      </w:r>
      <w:r w:rsidRPr="001D5B5E">
        <w:rPr>
          <w:sz w:val="24"/>
          <w:szCs w:val="24"/>
        </w:rPr>
        <w:t>Rev. 5.</w:t>
      </w:r>
      <w:r w:rsidRPr="00CD5D34">
        <w:rPr>
          <w:sz w:val="24"/>
          <w:szCs w:val="24"/>
        </w:rPr>
        <w:t xml:space="preserve"> </w:t>
      </w:r>
      <w:r w:rsidR="00CA1C94">
        <w:rPr>
          <w:sz w:val="24"/>
          <w:szCs w:val="24"/>
        </w:rPr>
        <w:br/>
      </w:r>
    </w:p>
    <w:p w14:paraId="4CB2A499" w14:textId="2B1EE09C" w:rsidR="001621EE" w:rsidRDefault="006A4062" w:rsidP="000D2AF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41A5A">
        <w:rPr>
          <w:sz w:val="24"/>
          <w:szCs w:val="24"/>
        </w:rPr>
        <w:t xml:space="preserve">On a </w:t>
      </w:r>
      <w:r w:rsidR="000D2AFE">
        <w:rPr>
          <w:sz w:val="24"/>
          <w:szCs w:val="24"/>
        </w:rPr>
        <w:t>semi</w:t>
      </w:r>
      <w:r w:rsidRPr="00641A5A">
        <w:rPr>
          <w:sz w:val="24"/>
          <w:szCs w:val="24"/>
        </w:rPr>
        <w:t xml:space="preserve">-annual and annual basis, </w:t>
      </w:r>
      <w:r w:rsidR="001A0A29" w:rsidRPr="00641A5A">
        <w:rPr>
          <w:sz w:val="24"/>
          <w:szCs w:val="24"/>
        </w:rPr>
        <w:t xml:space="preserve">overall DEV element pass/fail results </w:t>
      </w:r>
      <w:r w:rsidR="003E392D" w:rsidRPr="00641A5A">
        <w:rPr>
          <w:sz w:val="24"/>
          <w:szCs w:val="24"/>
        </w:rPr>
        <w:t>will be provided to EC Program Operations, ITSD</w:t>
      </w:r>
      <w:r w:rsidR="000D2AFE">
        <w:rPr>
          <w:sz w:val="24"/>
          <w:szCs w:val="24"/>
        </w:rPr>
        <w:t xml:space="preserve">, and </w:t>
      </w:r>
      <w:r w:rsidR="003E392D" w:rsidRPr="00641A5A">
        <w:rPr>
          <w:sz w:val="24"/>
          <w:szCs w:val="24"/>
        </w:rPr>
        <w:t>DATA Division</w:t>
      </w:r>
      <w:r w:rsidR="000D2AFE">
        <w:rPr>
          <w:sz w:val="24"/>
          <w:szCs w:val="24"/>
        </w:rPr>
        <w:t xml:space="preserve"> </w:t>
      </w:r>
      <w:r w:rsidR="003E392D" w:rsidRPr="00641A5A">
        <w:rPr>
          <w:sz w:val="24"/>
          <w:szCs w:val="24"/>
        </w:rPr>
        <w:t xml:space="preserve">on a </w:t>
      </w:r>
      <w:r w:rsidR="004A1E17" w:rsidRPr="00641A5A">
        <w:rPr>
          <w:sz w:val="24"/>
          <w:szCs w:val="24"/>
        </w:rPr>
        <w:t>DEV Action Items Worksheet</w:t>
      </w:r>
      <w:r w:rsidRPr="00641A5A">
        <w:rPr>
          <w:sz w:val="24"/>
          <w:szCs w:val="24"/>
        </w:rPr>
        <w:t xml:space="preserve">. </w:t>
      </w:r>
      <w:r w:rsidR="003E392D" w:rsidRPr="00641A5A">
        <w:rPr>
          <w:sz w:val="24"/>
          <w:szCs w:val="24"/>
        </w:rPr>
        <w:t xml:space="preserve">If any element fails across the period, the owner of the respective failure will be required to develop and submit a corrective action plan for any element failures that exceed the 20% </w:t>
      </w:r>
      <w:r w:rsidR="003E392D" w:rsidRPr="00641A5A">
        <w:rPr>
          <w:sz w:val="24"/>
          <w:szCs w:val="24"/>
        </w:rPr>
        <w:lastRenderedPageBreak/>
        <w:t>programmatic pass/fail ratio as prescribed in ESD Policy 1003, Rev 5. EC Program Operations, ITS</w:t>
      </w:r>
      <w:r w:rsidR="000D2AFE">
        <w:rPr>
          <w:sz w:val="24"/>
          <w:szCs w:val="24"/>
        </w:rPr>
        <w:t>D/</w:t>
      </w:r>
      <w:r w:rsidR="003E392D" w:rsidRPr="00641A5A">
        <w:rPr>
          <w:sz w:val="24"/>
          <w:szCs w:val="24"/>
        </w:rPr>
        <w:t xml:space="preserve">DATA Division will send any required corrective action plans or updates to </w:t>
      </w:r>
      <w:r w:rsidR="00D22B59" w:rsidRPr="00641A5A">
        <w:rPr>
          <w:rFonts w:eastAsia="Times New Roman"/>
          <w:sz w:val="24"/>
          <w:szCs w:val="24"/>
        </w:rPr>
        <w:t>ESD’s Monitoring Unit</w:t>
      </w:r>
      <w:r w:rsidR="003E392D" w:rsidRPr="00641A5A">
        <w:rPr>
          <w:sz w:val="24"/>
          <w:szCs w:val="24"/>
        </w:rPr>
        <w:t xml:space="preserve"> within </w:t>
      </w:r>
      <w:r w:rsidR="003E392D" w:rsidRPr="00641A5A">
        <w:rPr>
          <w:sz w:val="24"/>
          <w:szCs w:val="24"/>
          <w:u w:val="single"/>
        </w:rPr>
        <w:t>30 business days</w:t>
      </w:r>
      <w:r w:rsidR="003E392D" w:rsidRPr="00641A5A">
        <w:rPr>
          <w:sz w:val="24"/>
          <w:szCs w:val="24"/>
        </w:rPr>
        <w:t xml:space="preserve"> from the day the DEV Action Items Worksheet is received. </w:t>
      </w:r>
    </w:p>
    <w:p w14:paraId="0AEF210E" w14:textId="77777777" w:rsidR="00641A5A" w:rsidRPr="00641A5A" w:rsidRDefault="00641A5A" w:rsidP="00641A5A">
      <w:pPr>
        <w:pStyle w:val="ListParagraph"/>
        <w:ind w:left="1440"/>
        <w:rPr>
          <w:sz w:val="24"/>
          <w:szCs w:val="24"/>
        </w:rPr>
      </w:pPr>
    </w:p>
    <w:p w14:paraId="724C56CE" w14:textId="228CE5C7" w:rsidR="004654C6" w:rsidRPr="00CD5D34" w:rsidRDefault="00585A1E" w:rsidP="00585A1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D5D34">
        <w:rPr>
          <w:rStyle w:val="ui-provider"/>
          <w:sz w:val="24"/>
          <w:szCs w:val="24"/>
        </w:rPr>
        <w:t xml:space="preserve">On an annual basis, following completion of the Wagner-Peyser Program Data Element Validation review, </w:t>
      </w:r>
      <w:r w:rsidR="00D22B59" w:rsidRPr="00292FE5">
        <w:rPr>
          <w:rFonts w:eastAsia="Times New Roman"/>
          <w:sz w:val="24"/>
          <w:szCs w:val="24"/>
        </w:rPr>
        <w:t>ESD’s Monitoring Unit</w:t>
      </w:r>
      <w:r w:rsidRPr="00CD5D34">
        <w:rPr>
          <w:rStyle w:val="ui-provider"/>
          <w:sz w:val="24"/>
          <w:szCs w:val="24"/>
        </w:rPr>
        <w:t xml:space="preserve"> will review the results of the full sample to identify what elements exceeded the error rate. Those elements identified will be included as technical assistance in the Wagner-Peyser Program’s Annual DEV training apart from MIS system failures. Currently, MIS systems failures are being addressed in the WorkSource Information Technology System (WIT) replacement process. </w:t>
      </w:r>
    </w:p>
    <w:sectPr w:rsidR="004654C6" w:rsidRPr="00CD5D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592C" w14:textId="77777777" w:rsidR="007B652C" w:rsidRDefault="007B652C" w:rsidP="009C2DF7">
      <w:pPr>
        <w:spacing w:after="0" w:line="240" w:lineRule="auto"/>
      </w:pPr>
      <w:r>
        <w:separator/>
      </w:r>
    </w:p>
  </w:endnote>
  <w:endnote w:type="continuationSeparator" w:id="0">
    <w:p w14:paraId="58B05321" w14:textId="77777777" w:rsidR="007B652C" w:rsidRDefault="007B652C" w:rsidP="009C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96E2" w14:textId="7D368C50" w:rsidR="00CA1C94" w:rsidRDefault="00CA1C94">
    <w:pPr>
      <w:pStyle w:val="Footer"/>
    </w:pPr>
    <w:r>
      <w:t>PY23 Wagner-Peyser DEV Scope, 2/</w:t>
    </w:r>
    <w:r w:rsidR="001E2BA4">
      <w:t>27</w:t>
    </w:r>
    <w:r>
      <w:t>/2024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40A2" w14:textId="77777777" w:rsidR="007B652C" w:rsidRDefault="007B652C" w:rsidP="009C2DF7">
      <w:pPr>
        <w:spacing w:after="0" w:line="240" w:lineRule="auto"/>
      </w:pPr>
      <w:r>
        <w:separator/>
      </w:r>
    </w:p>
  </w:footnote>
  <w:footnote w:type="continuationSeparator" w:id="0">
    <w:p w14:paraId="580253D9" w14:textId="77777777" w:rsidR="007B652C" w:rsidRDefault="007B652C" w:rsidP="009C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37D0" w14:textId="236AF8E7" w:rsidR="009C2DF7" w:rsidRPr="00CD5D34" w:rsidRDefault="009C2DF7" w:rsidP="009C2DF7">
    <w:pPr>
      <w:spacing w:after="0" w:line="240" w:lineRule="auto"/>
      <w:jc w:val="center"/>
      <w:rPr>
        <w:b/>
        <w:bCs/>
        <w:color w:val="767171" w:themeColor="background2" w:themeShade="80"/>
        <w:sz w:val="28"/>
        <w:szCs w:val="28"/>
      </w:rPr>
    </w:pPr>
    <w:r w:rsidRPr="00CD5D34">
      <w:rPr>
        <w:b/>
        <w:bCs/>
        <w:color w:val="767171" w:themeColor="background2" w:themeShade="80"/>
        <w:sz w:val="28"/>
        <w:szCs w:val="28"/>
      </w:rPr>
      <w:t>Wagner-Peyser PY2</w:t>
    </w:r>
    <w:r w:rsidR="004059E4" w:rsidRPr="00CD5D34">
      <w:rPr>
        <w:b/>
        <w:bCs/>
        <w:color w:val="767171" w:themeColor="background2" w:themeShade="80"/>
        <w:sz w:val="28"/>
        <w:szCs w:val="28"/>
      </w:rPr>
      <w:t>3</w:t>
    </w:r>
    <w:r w:rsidRPr="00CD5D34">
      <w:rPr>
        <w:b/>
        <w:bCs/>
        <w:color w:val="767171" w:themeColor="background2" w:themeShade="80"/>
        <w:sz w:val="28"/>
        <w:szCs w:val="28"/>
      </w:rPr>
      <w:t xml:space="preserve"> DEV Scope of Review</w:t>
    </w:r>
  </w:p>
  <w:p w14:paraId="4E7DDD10" w14:textId="77777777" w:rsidR="009C2DF7" w:rsidRPr="009C2DF7" w:rsidRDefault="009C2DF7" w:rsidP="009C2DF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E2A"/>
    <w:multiLevelType w:val="hybridMultilevel"/>
    <w:tmpl w:val="D8B63C8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00185"/>
    <w:multiLevelType w:val="hybridMultilevel"/>
    <w:tmpl w:val="19506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F0C49"/>
    <w:multiLevelType w:val="hybridMultilevel"/>
    <w:tmpl w:val="39D64B5E"/>
    <w:lvl w:ilvl="0" w:tplc="74CE89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F59EC"/>
    <w:multiLevelType w:val="hybridMultilevel"/>
    <w:tmpl w:val="8DEE6BEE"/>
    <w:lvl w:ilvl="0" w:tplc="0EB491FA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5AB9"/>
    <w:multiLevelType w:val="hybridMultilevel"/>
    <w:tmpl w:val="C080968C"/>
    <w:lvl w:ilvl="0" w:tplc="4EEC1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E1A14"/>
    <w:multiLevelType w:val="hybridMultilevel"/>
    <w:tmpl w:val="2A242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2172"/>
    <w:multiLevelType w:val="hybridMultilevel"/>
    <w:tmpl w:val="25C2F9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282FF0"/>
    <w:multiLevelType w:val="hybridMultilevel"/>
    <w:tmpl w:val="73FCE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13C70"/>
    <w:multiLevelType w:val="hybridMultilevel"/>
    <w:tmpl w:val="4482A7E2"/>
    <w:lvl w:ilvl="0" w:tplc="C2BE86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96CC3"/>
    <w:multiLevelType w:val="hybridMultilevel"/>
    <w:tmpl w:val="407C31BE"/>
    <w:lvl w:ilvl="0" w:tplc="55DC3E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8EE43BE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E2BDE"/>
    <w:multiLevelType w:val="hybridMultilevel"/>
    <w:tmpl w:val="52A4B47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903BDB"/>
    <w:multiLevelType w:val="hybridMultilevel"/>
    <w:tmpl w:val="B582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10726"/>
    <w:multiLevelType w:val="hybridMultilevel"/>
    <w:tmpl w:val="DBBA099C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4834BC"/>
    <w:multiLevelType w:val="hybridMultilevel"/>
    <w:tmpl w:val="942AB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ED057C"/>
    <w:multiLevelType w:val="hybridMultilevel"/>
    <w:tmpl w:val="11B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A746F"/>
    <w:multiLevelType w:val="hybridMultilevel"/>
    <w:tmpl w:val="4006A0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716B89"/>
    <w:multiLevelType w:val="hybridMultilevel"/>
    <w:tmpl w:val="5EFA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65247"/>
    <w:multiLevelType w:val="hybridMultilevel"/>
    <w:tmpl w:val="7C4605A6"/>
    <w:lvl w:ilvl="0" w:tplc="84F67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61279"/>
    <w:multiLevelType w:val="hybridMultilevel"/>
    <w:tmpl w:val="A5A6540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D05C01"/>
    <w:multiLevelType w:val="hybridMultilevel"/>
    <w:tmpl w:val="9072D7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80C97"/>
    <w:multiLevelType w:val="hybridMultilevel"/>
    <w:tmpl w:val="83109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70E9F"/>
    <w:multiLevelType w:val="hybridMultilevel"/>
    <w:tmpl w:val="52A4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F4711"/>
    <w:multiLevelType w:val="hybridMultilevel"/>
    <w:tmpl w:val="B3984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7026E"/>
    <w:multiLevelType w:val="hybridMultilevel"/>
    <w:tmpl w:val="EEBC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6433"/>
    <w:multiLevelType w:val="hybridMultilevel"/>
    <w:tmpl w:val="B0786D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165218">
    <w:abstractNumId w:val="2"/>
  </w:num>
  <w:num w:numId="2" w16cid:durableId="234319156">
    <w:abstractNumId w:val="13"/>
  </w:num>
  <w:num w:numId="3" w16cid:durableId="315229677">
    <w:abstractNumId w:val="19"/>
  </w:num>
  <w:num w:numId="4" w16cid:durableId="1199583527">
    <w:abstractNumId w:val="24"/>
  </w:num>
  <w:num w:numId="5" w16cid:durableId="452019550">
    <w:abstractNumId w:val="4"/>
  </w:num>
  <w:num w:numId="6" w16cid:durableId="855268810">
    <w:abstractNumId w:val="6"/>
  </w:num>
  <w:num w:numId="7" w16cid:durableId="2039697639">
    <w:abstractNumId w:val="8"/>
  </w:num>
  <w:num w:numId="8" w16cid:durableId="1011763982">
    <w:abstractNumId w:val="5"/>
  </w:num>
  <w:num w:numId="9" w16cid:durableId="1515877158">
    <w:abstractNumId w:val="17"/>
  </w:num>
  <w:num w:numId="10" w16cid:durableId="1982226344">
    <w:abstractNumId w:val="21"/>
  </w:num>
  <w:num w:numId="11" w16cid:durableId="392437323">
    <w:abstractNumId w:val="11"/>
  </w:num>
  <w:num w:numId="12" w16cid:durableId="1221788876">
    <w:abstractNumId w:val="14"/>
  </w:num>
  <w:num w:numId="13" w16cid:durableId="1179850981">
    <w:abstractNumId w:val="16"/>
  </w:num>
  <w:num w:numId="14" w16cid:durableId="96176329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94718">
    <w:abstractNumId w:val="9"/>
  </w:num>
  <w:num w:numId="16" w16cid:durableId="741685013">
    <w:abstractNumId w:val="23"/>
  </w:num>
  <w:num w:numId="17" w16cid:durableId="75640261">
    <w:abstractNumId w:val="22"/>
  </w:num>
  <w:num w:numId="18" w16cid:durableId="1010135021">
    <w:abstractNumId w:val="15"/>
  </w:num>
  <w:num w:numId="19" w16cid:durableId="645162416">
    <w:abstractNumId w:val="7"/>
  </w:num>
  <w:num w:numId="20" w16cid:durableId="2119132700">
    <w:abstractNumId w:val="20"/>
  </w:num>
  <w:num w:numId="21" w16cid:durableId="603652881">
    <w:abstractNumId w:val="12"/>
  </w:num>
  <w:num w:numId="22" w16cid:durableId="1718510099">
    <w:abstractNumId w:val="1"/>
  </w:num>
  <w:num w:numId="23" w16cid:durableId="452482846">
    <w:abstractNumId w:val="10"/>
  </w:num>
  <w:num w:numId="24" w16cid:durableId="308481977">
    <w:abstractNumId w:val="0"/>
  </w:num>
  <w:num w:numId="25" w16cid:durableId="17346207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FE"/>
    <w:rsid w:val="0002065F"/>
    <w:rsid w:val="00030E90"/>
    <w:rsid w:val="00033D4C"/>
    <w:rsid w:val="0004586C"/>
    <w:rsid w:val="000526D0"/>
    <w:rsid w:val="0007140D"/>
    <w:rsid w:val="00075F82"/>
    <w:rsid w:val="0009026C"/>
    <w:rsid w:val="000A4163"/>
    <w:rsid w:val="000D2AFE"/>
    <w:rsid w:val="000E51F5"/>
    <w:rsid w:val="000F50EF"/>
    <w:rsid w:val="00127EA5"/>
    <w:rsid w:val="001621EE"/>
    <w:rsid w:val="0018791E"/>
    <w:rsid w:val="001A0A29"/>
    <w:rsid w:val="001B0316"/>
    <w:rsid w:val="001D5B5E"/>
    <w:rsid w:val="001D6184"/>
    <w:rsid w:val="001D7D01"/>
    <w:rsid w:val="001E2BA4"/>
    <w:rsid w:val="001E3474"/>
    <w:rsid w:val="00236A5C"/>
    <w:rsid w:val="002378DF"/>
    <w:rsid w:val="00293C6F"/>
    <w:rsid w:val="002C53FE"/>
    <w:rsid w:val="002D54BC"/>
    <w:rsid w:val="002E32DC"/>
    <w:rsid w:val="0031022B"/>
    <w:rsid w:val="00313E18"/>
    <w:rsid w:val="00341869"/>
    <w:rsid w:val="00390CD8"/>
    <w:rsid w:val="003B6BF1"/>
    <w:rsid w:val="003C11F6"/>
    <w:rsid w:val="003D1A61"/>
    <w:rsid w:val="003E392D"/>
    <w:rsid w:val="003E7C36"/>
    <w:rsid w:val="004059E4"/>
    <w:rsid w:val="004654C6"/>
    <w:rsid w:val="004A1E17"/>
    <w:rsid w:val="004D26B0"/>
    <w:rsid w:val="00515766"/>
    <w:rsid w:val="00523139"/>
    <w:rsid w:val="00525021"/>
    <w:rsid w:val="0056116B"/>
    <w:rsid w:val="00581B4C"/>
    <w:rsid w:val="00585A1E"/>
    <w:rsid w:val="00590BAF"/>
    <w:rsid w:val="005F6BB8"/>
    <w:rsid w:val="00622BA5"/>
    <w:rsid w:val="00637F44"/>
    <w:rsid w:val="00641A5A"/>
    <w:rsid w:val="00645845"/>
    <w:rsid w:val="006A4062"/>
    <w:rsid w:val="006A4C1B"/>
    <w:rsid w:val="00707A28"/>
    <w:rsid w:val="00726E0D"/>
    <w:rsid w:val="007B652C"/>
    <w:rsid w:val="007C1366"/>
    <w:rsid w:val="007E22A3"/>
    <w:rsid w:val="00812BBB"/>
    <w:rsid w:val="008338D3"/>
    <w:rsid w:val="008458E9"/>
    <w:rsid w:val="008553B1"/>
    <w:rsid w:val="00867D1F"/>
    <w:rsid w:val="008B3EEB"/>
    <w:rsid w:val="008C5F83"/>
    <w:rsid w:val="008D5A1A"/>
    <w:rsid w:val="009022CB"/>
    <w:rsid w:val="0098052A"/>
    <w:rsid w:val="00985E15"/>
    <w:rsid w:val="009862CA"/>
    <w:rsid w:val="009C29DA"/>
    <w:rsid w:val="009C2DF7"/>
    <w:rsid w:val="009D2228"/>
    <w:rsid w:val="009F27F2"/>
    <w:rsid w:val="00A01A4E"/>
    <w:rsid w:val="00A73AA1"/>
    <w:rsid w:val="00AA120A"/>
    <w:rsid w:val="00B01C39"/>
    <w:rsid w:val="00B07BA0"/>
    <w:rsid w:val="00B11EA5"/>
    <w:rsid w:val="00B566DA"/>
    <w:rsid w:val="00B87267"/>
    <w:rsid w:val="00BE6E64"/>
    <w:rsid w:val="00C40CE0"/>
    <w:rsid w:val="00C40E7D"/>
    <w:rsid w:val="00C62112"/>
    <w:rsid w:val="00C739E6"/>
    <w:rsid w:val="00C8256F"/>
    <w:rsid w:val="00CA0ACE"/>
    <w:rsid w:val="00CA1C94"/>
    <w:rsid w:val="00CB2D0B"/>
    <w:rsid w:val="00CC39B5"/>
    <w:rsid w:val="00CD5D34"/>
    <w:rsid w:val="00D07C06"/>
    <w:rsid w:val="00D22B59"/>
    <w:rsid w:val="00D30E10"/>
    <w:rsid w:val="00D741AF"/>
    <w:rsid w:val="00D85695"/>
    <w:rsid w:val="00DA3B90"/>
    <w:rsid w:val="00DD50C8"/>
    <w:rsid w:val="00DE1311"/>
    <w:rsid w:val="00E16E8B"/>
    <w:rsid w:val="00E23DDB"/>
    <w:rsid w:val="00E24180"/>
    <w:rsid w:val="00EB18B4"/>
    <w:rsid w:val="00F20C3B"/>
    <w:rsid w:val="00F4197E"/>
    <w:rsid w:val="00F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6EA8F"/>
  <w15:chartTrackingRefBased/>
  <w15:docId w15:val="{17108BE2-57AF-4286-93BC-327ECAE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F7"/>
  </w:style>
  <w:style w:type="paragraph" w:styleId="Footer">
    <w:name w:val="footer"/>
    <w:basedOn w:val="Normal"/>
    <w:link w:val="FooterChar"/>
    <w:uiPriority w:val="99"/>
    <w:unhideWhenUsed/>
    <w:rsid w:val="009C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F7"/>
  </w:style>
  <w:style w:type="character" w:styleId="CommentReference">
    <w:name w:val="annotation reference"/>
    <w:basedOn w:val="DefaultParagraphFont"/>
    <w:uiPriority w:val="99"/>
    <w:semiHidden/>
    <w:unhideWhenUsed/>
    <w:rsid w:val="00985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2A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2E32DC"/>
  </w:style>
  <w:style w:type="paragraph" w:styleId="Revision">
    <w:name w:val="Revision"/>
    <w:hidden/>
    <w:uiPriority w:val="99"/>
    <w:semiHidden/>
    <w:rsid w:val="00CA1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Jamie (ESD)</dc:creator>
  <cp:keywords/>
  <dc:description/>
  <cp:lastModifiedBy>Murphy, Jamie (ESD)</cp:lastModifiedBy>
  <cp:revision>2</cp:revision>
  <dcterms:created xsi:type="dcterms:W3CDTF">2024-03-06T16:36:00Z</dcterms:created>
  <dcterms:modified xsi:type="dcterms:W3CDTF">2024-03-06T16:36:00Z</dcterms:modified>
</cp:coreProperties>
</file>