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25E7" w14:textId="77777777" w:rsidR="00380E44" w:rsidRPr="00B62221" w:rsidRDefault="00380E44" w:rsidP="001F73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833F4F9" w14:textId="77777777" w:rsidR="00380E44" w:rsidRPr="00B62221" w:rsidRDefault="00380E44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C49B712" w14:textId="4B4862E1" w:rsidR="00380E44" w:rsidRPr="00B62221" w:rsidRDefault="005F2420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</w:t>
      </w:r>
    </w:p>
    <w:p w14:paraId="5300F35F" w14:textId="77777777" w:rsidR="00380E44" w:rsidRPr="00B62221" w:rsidRDefault="00380E44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6856870" w14:textId="77777777" w:rsidR="00380E44" w:rsidRPr="00B62221" w:rsidRDefault="00380E44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704843B" w14:textId="77777777" w:rsidR="00380E44" w:rsidRPr="00B62221" w:rsidRDefault="00380E44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351825A" w14:textId="3A6EC029" w:rsidR="00380E44" w:rsidRPr="00B62221" w:rsidRDefault="00E5539F" w:rsidP="00E5539F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5F2420">
        <w:rPr>
          <w:rFonts w:ascii="Times New Roman" w:hAnsi="Times New Roman" w:cs="Times New Roman"/>
          <w:sz w:val="24"/>
          <w:szCs w:val="24"/>
        </w:rPr>
        <w:t>NAME</w:t>
      </w:r>
      <w:r w:rsidR="00380E44" w:rsidRPr="00B62221">
        <w:rPr>
          <w:rFonts w:ascii="Times New Roman" w:hAnsi="Times New Roman" w:cs="Times New Roman"/>
          <w:sz w:val="24"/>
          <w:szCs w:val="24"/>
        </w:rPr>
        <w:t>, Executive Director,</w:t>
      </w:r>
      <w:r w:rsidR="00AF5029" w:rsidRPr="00B62221">
        <w:rPr>
          <w:rFonts w:ascii="Times New Roman" w:hAnsi="Times New Roman" w:cs="Times New Roman"/>
          <w:sz w:val="24"/>
          <w:szCs w:val="24"/>
        </w:rPr>
        <w:t xml:space="preserve"> </w:t>
      </w:r>
      <w:r w:rsidR="005F2420">
        <w:rPr>
          <w:rFonts w:ascii="Times New Roman" w:hAnsi="Times New Roman" w:cs="Times New Roman"/>
          <w:sz w:val="24"/>
          <w:szCs w:val="24"/>
        </w:rPr>
        <w:t>WDC NAME</w:t>
      </w:r>
    </w:p>
    <w:p w14:paraId="1902BC5F" w14:textId="77777777" w:rsidR="00380E44" w:rsidRPr="00B62221" w:rsidRDefault="00380E44" w:rsidP="001F73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0E49F4" w14:textId="740E0E70" w:rsidR="00AF5029" w:rsidRPr="00B62221" w:rsidRDefault="00380E44" w:rsidP="001F739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B62221">
        <w:rPr>
          <w:rFonts w:ascii="Times New Roman" w:hAnsi="Times New Roman" w:cs="Times New Roman"/>
          <w:sz w:val="24"/>
          <w:szCs w:val="24"/>
        </w:rPr>
        <w:t>Cc:</w:t>
      </w:r>
      <w:r w:rsidRPr="00B62221">
        <w:rPr>
          <w:rFonts w:ascii="Times New Roman" w:hAnsi="Times New Roman" w:cs="Times New Roman"/>
          <w:sz w:val="24"/>
          <w:szCs w:val="24"/>
        </w:rPr>
        <w:tab/>
      </w:r>
      <w:r w:rsidR="007942C7">
        <w:rPr>
          <w:rFonts w:ascii="Times New Roman" w:hAnsi="Times New Roman" w:cs="Times New Roman"/>
          <w:sz w:val="24"/>
          <w:szCs w:val="24"/>
        </w:rPr>
        <w:t>NAME, Title, Organization</w:t>
      </w:r>
    </w:p>
    <w:p w14:paraId="5FAC277A" w14:textId="12FA4692" w:rsidR="00380E44" w:rsidRPr="00B62221" w:rsidRDefault="00380E44" w:rsidP="001F739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AC6E990" w14:textId="26721C84" w:rsidR="005F2420" w:rsidRDefault="00380E44" w:rsidP="001F73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2221">
        <w:rPr>
          <w:rFonts w:ascii="Times New Roman" w:hAnsi="Times New Roman" w:cs="Times New Roman"/>
          <w:sz w:val="24"/>
          <w:szCs w:val="24"/>
        </w:rPr>
        <w:t>FROM:</w:t>
      </w:r>
      <w:r w:rsidRPr="00B62221">
        <w:rPr>
          <w:rFonts w:ascii="Times New Roman" w:hAnsi="Times New Roman" w:cs="Times New Roman"/>
          <w:sz w:val="24"/>
          <w:szCs w:val="24"/>
        </w:rPr>
        <w:tab/>
      </w:r>
      <w:r w:rsidR="005F2420">
        <w:rPr>
          <w:rFonts w:ascii="Times New Roman" w:hAnsi="Times New Roman" w:cs="Times New Roman"/>
          <w:sz w:val="24"/>
          <w:szCs w:val="24"/>
        </w:rPr>
        <w:t>NAME</w:t>
      </w:r>
      <w:r w:rsidRPr="00B62221">
        <w:rPr>
          <w:rFonts w:ascii="Times New Roman" w:hAnsi="Times New Roman" w:cs="Times New Roman"/>
          <w:sz w:val="24"/>
          <w:szCs w:val="24"/>
        </w:rPr>
        <w:t>, Equal Opportunity Officer</w:t>
      </w:r>
      <w:r w:rsidR="005F2420">
        <w:rPr>
          <w:rFonts w:ascii="Times New Roman" w:hAnsi="Times New Roman" w:cs="Times New Roman"/>
          <w:sz w:val="24"/>
          <w:szCs w:val="24"/>
        </w:rPr>
        <w:t>, INITIALS</w:t>
      </w:r>
    </w:p>
    <w:p w14:paraId="02BCC6C1" w14:textId="77777777" w:rsidR="005F2420" w:rsidRPr="005F2420" w:rsidRDefault="005F2420" w:rsidP="001F73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AD441A" w14:textId="7AF4A67B" w:rsidR="00380E44" w:rsidRPr="00B62221" w:rsidRDefault="00380E44" w:rsidP="001F739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B62221">
        <w:rPr>
          <w:rFonts w:ascii="Times New Roman" w:hAnsi="Times New Roman" w:cs="Times New Roman"/>
          <w:sz w:val="24"/>
          <w:szCs w:val="24"/>
        </w:rPr>
        <w:t>RE:</w:t>
      </w:r>
      <w:r w:rsidRPr="00B62221">
        <w:rPr>
          <w:rFonts w:ascii="Times New Roman" w:hAnsi="Times New Roman" w:cs="Times New Roman"/>
          <w:sz w:val="24"/>
          <w:szCs w:val="24"/>
        </w:rPr>
        <w:tab/>
      </w:r>
      <w:r w:rsidR="005F2420">
        <w:rPr>
          <w:rFonts w:ascii="Times New Roman" w:hAnsi="Times New Roman" w:cs="Times New Roman"/>
          <w:sz w:val="24"/>
          <w:szCs w:val="24"/>
        </w:rPr>
        <w:t>YEAR</w:t>
      </w:r>
      <w:r w:rsidR="001F7397" w:rsidRPr="00B62221">
        <w:rPr>
          <w:rFonts w:ascii="Times New Roman" w:hAnsi="Times New Roman" w:cs="Times New Roman"/>
          <w:sz w:val="24"/>
          <w:szCs w:val="24"/>
        </w:rPr>
        <w:t xml:space="preserve"> </w:t>
      </w:r>
      <w:r w:rsidRPr="00B62221">
        <w:rPr>
          <w:rFonts w:ascii="Times New Roman" w:hAnsi="Times New Roman" w:cs="Times New Roman"/>
          <w:sz w:val="24"/>
          <w:szCs w:val="24"/>
        </w:rPr>
        <w:t xml:space="preserve">Equal Opportunity and Nondiscrimination </w:t>
      </w:r>
      <w:r w:rsidR="005F2420">
        <w:rPr>
          <w:rFonts w:ascii="Times New Roman" w:hAnsi="Times New Roman" w:cs="Times New Roman"/>
          <w:sz w:val="24"/>
          <w:szCs w:val="24"/>
        </w:rPr>
        <w:t>Monitorin</w:t>
      </w:r>
      <w:r w:rsidRPr="00B62221">
        <w:rPr>
          <w:rFonts w:ascii="Times New Roman" w:hAnsi="Times New Roman" w:cs="Times New Roman"/>
          <w:sz w:val="24"/>
          <w:szCs w:val="24"/>
        </w:rPr>
        <w:t>g Report</w:t>
      </w:r>
    </w:p>
    <w:p w14:paraId="381A8FFC" w14:textId="77777777" w:rsidR="00380E44" w:rsidRPr="00B62221" w:rsidRDefault="00380E44" w:rsidP="001F739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E1277A8" w14:textId="77777777" w:rsidR="00380E44" w:rsidRPr="00B62221" w:rsidRDefault="00380E44" w:rsidP="001F739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5856250" w14:textId="77777777" w:rsidR="00BE6C0D" w:rsidRPr="00B62221" w:rsidRDefault="007C6FFE" w:rsidP="001F7397">
      <w:pPr>
        <w:pStyle w:val="Heading1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221">
        <w:rPr>
          <w:rFonts w:ascii="Times New Roman" w:hAnsi="Times New Roman" w:cs="Times New Roman"/>
          <w:b/>
          <w:color w:val="auto"/>
          <w:sz w:val="24"/>
          <w:szCs w:val="24"/>
        </w:rPr>
        <w:t>Purpose of Review</w:t>
      </w:r>
    </w:p>
    <w:p w14:paraId="791981AF" w14:textId="5A4CE362" w:rsidR="00BE6C0D" w:rsidRPr="00B62221" w:rsidRDefault="00B700C6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62221">
        <w:rPr>
          <w:rFonts w:ascii="Times New Roman" w:hAnsi="Times New Roman" w:cs="Times New Roman"/>
          <w:bCs/>
          <w:sz w:val="24"/>
          <w:szCs w:val="24"/>
        </w:rPr>
        <w:t xml:space="preserve">In compliance with the Nondiscrimination and Equal Opportunity (EO) provisions of the Workforce Innovation and Opportunity Act (WIOA), the </w:t>
      </w:r>
      <w:r w:rsidR="005F2420">
        <w:rPr>
          <w:rFonts w:ascii="Times New Roman" w:hAnsi="Times New Roman" w:cs="Times New Roman"/>
          <w:bCs/>
          <w:sz w:val="24"/>
          <w:szCs w:val="24"/>
        </w:rPr>
        <w:t xml:space="preserve">WDC </w:t>
      </w:r>
      <w:r w:rsidRPr="00B62221">
        <w:rPr>
          <w:rFonts w:ascii="Times New Roman" w:hAnsi="Times New Roman" w:cs="Times New Roman"/>
          <w:bCs/>
          <w:sz w:val="24"/>
          <w:szCs w:val="24"/>
        </w:rPr>
        <w:t xml:space="preserve">completes annual compliance monitoring of each </w:t>
      </w:r>
      <w:r w:rsidR="005F2420">
        <w:rPr>
          <w:rFonts w:ascii="Times New Roman" w:hAnsi="Times New Roman" w:cs="Times New Roman"/>
          <w:bCs/>
          <w:sz w:val="24"/>
          <w:szCs w:val="24"/>
        </w:rPr>
        <w:t xml:space="preserve">service provider and site within the </w:t>
      </w:r>
      <w:r w:rsidRPr="00B62221">
        <w:rPr>
          <w:rFonts w:ascii="Times New Roman" w:hAnsi="Times New Roman" w:cs="Times New Roman"/>
          <w:bCs/>
          <w:sz w:val="24"/>
          <w:szCs w:val="24"/>
        </w:rPr>
        <w:t>L</w:t>
      </w:r>
      <w:r w:rsidR="005F2420">
        <w:rPr>
          <w:rFonts w:ascii="Times New Roman" w:hAnsi="Times New Roman" w:cs="Times New Roman"/>
          <w:bCs/>
          <w:sz w:val="24"/>
          <w:szCs w:val="24"/>
        </w:rPr>
        <w:t>WDA</w:t>
      </w:r>
      <w:r w:rsidR="000F1B9D" w:rsidRPr="00B622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91029E" w14:textId="77777777" w:rsidR="00BE6C0D" w:rsidRPr="00B62221" w:rsidRDefault="00BE6C0D" w:rsidP="001F73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01E64E7" w14:textId="77777777" w:rsidR="00BE6C0D" w:rsidRPr="00B62221" w:rsidRDefault="00BE6C0D" w:rsidP="001F7397">
      <w:pPr>
        <w:pStyle w:val="Heading1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221">
        <w:rPr>
          <w:rFonts w:ascii="Times New Roman" w:hAnsi="Times New Roman" w:cs="Times New Roman"/>
          <w:b/>
          <w:color w:val="auto"/>
          <w:sz w:val="24"/>
          <w:szCs w:val="24"/>
        </w:rPr>
        <w:t>Elements of Re</w:t>
      </w:r>
      <w:r w:rsidR="007C6FFE" w:rsidRPr="00B62221">
        <w:rPr>
          <w:rFonts w:ascii="Times New Roman" w:hAnsi="Times New Roman" w:cs="Times New Roman"/>
          <w:b/>
          <w:color w:val="auto"/>
          <w:sz w:val="24"/>
          <w:szCs w:val="24"/>
        </w:rPr>
        <w:t>view</w:t>
      </w:r>
    </w:p>
    <w:p w14:paraId="23022AED" w14:textId="1C4CA09C" w:rsidR="005F2420" w:rsidRDefault="00380E44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6222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F2420">
        <w:rPr>
          <w:rFonts w:ascii="Times New Roman" w:hAnsi="Times New Roman" w:cs="Times New Roman"/>
          <w:bCs/>
          <w:sz w:val="24"/>
          <w:szCs w:val="24"/>
        </w:rPr>
        <w:t xml:space="preserve">WDC EO Officer conducted equal opportunity and </w:t>
      </w:r>
      <w:r w:rsidR="00BE6C0D" w:rsidRPr="00B62221">
        <w:rPr>
          <w:rFonts w:ascii="Times New Roman" w:hAnsi="Times New Roman" w:cs="Times New Roman"/>
          <w:bCs/>
          <w:sz w:val="24"/>
          <w:szCs w:val="24"/>
        </w:rPr>
        <w:t>n</w:t>
      </w:r>
      <w:r w:rsidRPr="00B62221">
        <w:rPr>
          <w:rFonts w:ascii="Times New Roman" w:hAnsi="Times New Roman" w:cs="Times New Roman"/>
          <w:bCs/>
          <w:sz w:val="24"/>
          <w:szCs w:val="24"/>
        </w:rPr>
        <w:t xml:space="preserve">ondiscrimination monitoring </w:t>
      </w:r>
      <w:r w:rsidR="005F2420">
        <w:rPr>
          <w:rFonts w:ascii="Times New Roman" w:hAnsi="Times New Roman" w:cs="Times New Roman"/>
          <w:bCs/>
          <w:sz w:val="24"/>
          <w:szCs w:val="24"/>
        </w:rPr>
        <w:t>on the following dates:</w:t>
      </w:r>
    </w:p>
    <w:p w14:paraId="15092E94" w14:textId="42BA4708" w:rsidR="005F2420" w:rsidRDefault="005F2420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F43C6E2" w14:textId="6C8A1B5F" w:rsidR="005F2420" w:rsidRPr="005F2420" w:rsidRDefault="005F2420" w:rsidP="005F242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420">
        <w:rPr>
          <w:rFonts w:ascii="Times New Roman" w:hAnsi="Times New Roman" w:cs="Times New Roman"/>
          <w:bCs/>
          <w:sz w:val="24"/>
          <w:szCs w:val="24"/>
        </w:rPr>
        <w:t>Service provider, date</w:t>
      </w:r>
    </w:p>
    <w:p w14:paraId="2DF24DE1" w14:textId="727D5557" w:rsidR="007942C7" w:rsidRDefault="005F2420" w:rsidP="007942C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420">
        <w:rPr>
          <w:rFonts w:ascii="Times New Roman" w:hAnsi="Times New Roman" w:cs="Times New Roman"/>
          <w:bCs/>
          <w:sz w:val="24"/>
          <w:szCs w:val="24"/>
        </w:rPr>
        <w:t>WS site, date</w:t>
      </w:r>
    </w:p>
    <w:p w14:paraId="4D3FEF61" w14:textId="77777777" w:rsidR="007942C7" w:rsidRPr="007942C7" w:rsidRDefault="007942C7" w:rsidP="007942C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7DCF1A" w14:textId="77777777" w:rsidR="005F2420" w:rsidRDefault="005F2420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911D546" w14:textId="4F75946A" w:rsidR="00380E44" w:rsidRPr="00B62221" w:rsidRDefault="000F1B9D" w:rsidP="001F73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62221">
        <w:rPr>
          <w:rFonts w:ascii="Times New Roman" w:hAnsi="Times New Roman" w:cs="Times New Roman"/>
          <w:bCs/>
          <w:sz w:val="24"/>
          <w:szCs w:val="24"/>
        </w:rPr>
        <w:t xml:space="preserve">Our monitoring </w:t>
      </w:r>
      <w:r w:rsidR="00E5539F">
        <w:rPr>
          <w:rFonts w:ascii="Times New Roman" w:hAnsi="Times New Roman" w:cs="Times New Roman"/>
          <w:bCs/>
          <w:sz w:val="24"/>
          <w:szCs w:val="24"/>
        </w:rPr>
        <w:t xml:space="preserve">included </w:t>
      </w:r>
      <w:r w:rsidR="005F2420">
        <w:rPr>
          <w:rFonts w:ascii="Times New Roman" w:hAnsi="Times New Roman" w:cs="Times New Roman"/>
          <w:bCs/>
          <w:sz w:val="24"/>
          <w:szCs w:val="24"/>
        </w:rPr>
        <w:t xml:space="preserve">meetings with the service provider managers, </w:t>
      </w:r>
      <w:r w:rsidR="00BE6C0D" w:rsidRPr="00B62221">
        <w:rPr>
          <w:rFonts w:ascii="Times New Roman" w:hAnsi="Times New Roman" w:cs="Times New Roman"/>
          <w:bCs/>
          <w:sz w:val="24"/>
          <w:szCs w:val="24"/>
        </w:rPr>
        <w:t xml:space="preserve">interviews </w:t>
      </w:r>
      <w:r w:rsidR="00E5539F">
        <w:rPr>
          <w:rFonts w:ascii="Times New Roman" w:hAnsi="Times New Roman" w:cs="Times New Roman"/>
          <w:bCs/>
          <w:sz w:val="24"/>
          <w:szCs w:val="24"/>
        </w:rPr>
        <w:t>with customers and e</w:t>
      </w:r>
      <w:r w:rsidR="00BE6C0D" w:rsidRPr="00B62221">
        <w:rPr>
          <w:rFonts w:ascii="Times New Roman" w:hAnsi="Times New Roman" w:cs="Times New Roman"/>
          <w:bCs/>
          <w:sz w:val="24"/>
          <w:szCs w:val="24"/>
        </w:rPr>
        <w:t xml:space="preserve">mployees, </w:t>
      </w:r>
      <w:r w:rsidR="00E5539F">
        <w:rPr>
          <w:rFonts w:ascii="Times New Roman" w:hAnsi="Times New Roman" w:cs="Times New Roman"/>
          <w:bCs/>
          <w:sz w:val="24"/>
          <w:szCs w:val="24"/>
        </w:rPr>
        <w:t xml:space="preserve">file reviews, </w:t>
      </w:r>
      <w:r w:rsidR="00BE6C0D" w:rsidRPr="00B62221">
        <w:rPr>
          <w:rFonts w:ascii="Times New Roman" w:hAnsi="Times New Roman" w:cs="Times New Roman"/>
          <w:bCs/>
          <w:sz w:val="24"/>
          <w:szCs w:val="24"/>
        </w:rPr>
        <w:t>and facility walkthroughs</w:t>
      </w:r>
      <w:r w:rsidR="005F24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2FB2E0" w14:textId="77777777" w:rsidR="00380E44" w:rsidRPr="00B62221" w:rsidRDefault="00380E44" w:rsidP="001F739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C53CF56" w14:textId="0CB8E456" w:rsidR="00380E44" w:rsidRPr="00B62221" w:rsidRDefault="005F2420" w:rsidP="001F7397">
      <w:pPr>
        <w:pStyle w:val="Heading1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Service Provider</w:t>
      </w:r>
    </w:p>
    <w:p w14:paraId="35812539" w14:textId="646BDFB1" w:rsidR="007942C7" w:rsidRPr="007942C7" w:rsidRDefault="007942C7" w:rsidP="007942C7">
      <w:pPr>
        <w:pStyle w:val="Heading1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942C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Summarize the monitoring you conducted for this service provider (i.e.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meeting with manager, </w:t>
      </w:r>
      <w:r w:rsidRPr="007942C7">
        <w:rPr>
          <w:rFonts w:ascii="Times New Roman" w:eastAsiaTheme="minorEastAsia" w:hAnsi="Times New Roman" w:cs="Times New Roman"/>
          <w:color w:val="auto"/>
          <w:sz w:val="24"/>
          <w:szCs w:val="24"/>
        </w:rPr>
        <w:t>employee and customer interviews, participant and medical file reviews)</w:t>
      </w:r>
    </w:p>
    <w:p w14:paraId="52F5D45D" w14:textId="77777777" w:rsidR="007C6FFE" w:rsidRPr="00B62221" w:rsidRDefault="007C6FFE" w:rsidP="001F739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BE0C768" w14:textId="6F253FE1" w:rsidR="007C6FFE" w:rsidRPr="00B62221" w:rsidRDefault="008D330B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NDP</w:t>
      </w:r>
      <w:r w:rsidR="007C6FFE" w:rsidRPr="00B62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Element I: Designation of EO Officers and EO Training</w:t>
      </w:r>
    </w:p>
    <w:p w14:paraId="0B583EE6" w14:textId="50E5CA3D" w:rsidR="007C6FFE" w:rsidRPr="00B62221" w:rsidRDefault="005F2420" w:rsidP="005F242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</w:t>
      </w:r>
      <w:r w:rsidR="007942C7">
        <w:rPr>
          <w:rFonts w:ascii="Times New Roman" w:hAnsi="Times New Roman" w:cs="Times New Roman"/>
          <w:sz w:val="24"/>
          <w:szCs w:val="24"/>
        </w:rPr>
        <w:t>how the service provider is complying.</w:t>
      </w:r>
    </w:p>
    <w:p w14:paraId="5371BAB2" w14:textId="77777777" w:rsidR="007C6FFE" w:rsidRPr="00B62221" w:rsidRDefault="007C6FFE" w:rsidP="001F739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1359A41" w14:textId="539F40A1" w:rsidR="001F7397" w:rsidRPr="00B62221" w:rsidRDefault="008D330B" w:rsidP="00E90171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NDP</w:t>
      </w:r>
      <w:r w:rsidR="007C6FFE" w:rsidRPr="00B62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Element II: Notice and Communication</w:t>
      </w:r>
    </w:p>
    <w:p w14:paraId="3A6C94D5" w14:textId="77777777" w:rsidR="007C6FFE" w:rsidRDefault="007C6FFE" w:rsidP="00E90171">
      <w:pPr>
        <w:pStyle w:val="Heading3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</w:rPr>
      </w:pPr>
      <w:r w:rsidRPr="00B62221">
        <w:rPr>
          <w:rFonts w:ascii="Times New Roman" w:hAnsi="Times New Roman" w:cs="Times New Roman"/>
          <w:b/>
          <w:color w:val="auto"/>
        </w:rPr>
        <w:t>EO Notice Posters, EO Taglines and Effective Communications</w:t>
      </w:r>
    </w:p>
    <w:p w14:paraId="18065DC2" w14:textId="77777777" w:rsidR="007942C7" w:rsidRPr="00B62221" w:rsidRDefault="007942C7" w:rsidP="007942C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3118E357" w14:textId="77777777" w:rsidR="00E90171" w:rsidRPr="00B62221" w:rsidRDefault="00E90171" w:rsidP="00E9017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884FF6" w14:textId="77777777" w:rsidR="005F2420" w:rsidRDefault="005F2420" w:rsidP="005F242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provider</w:t>
      </w:r>
      <w:r w:rsidR="008F6BB7" w:rsidRPr="00B62221">
        <w:rPr>
          <w:rFonts w:ascii="Times New Roman" w:hAnsi="Times New Roman" w:cs="Times New Roman"/>
          <w:sz w:val="24"/>
          <w:szCs w:val="24"/>
        </w:rPr>
        <w:t xml:space="preserve"> </w:t>
      </w:r>
      <w:r w:rsidR="007C6FFE" w:rsidRPr="00B62221">
        <w:rPr>
          <w:rFonts w:ascii="Times New Roman" w:hAnsi="Times New Roman" w:cs="Times New Roman"/>
          <w:sz w:val="24"/>
          <w:szCs w:val="24"/>
        </w:rPr>
        <w:t>ensures effective communications with individuals with disabilities in the following ways:</w:t>
      </w:r>
    </w:p>
    <w:p w14:paraId="4747A009" w14:textId="77777777" w:rsidR="007942C7" w:rsidRPr="007942C7" w:rsidRDefault="007942C7" w:rsidP="007942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7ABF844F" w14:textId="77777777" w:rsidR="007C6FFE" w:rsidRPr="00B62221" w:rsidRDefault="007C6FFE" w:rsidP="001F739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043C67C" w14:textId="4A8B31BA" w:rsidR="007C6FFE" w:rsidRPr="00B62221" w:rsidRDefault="008D330B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NDP</w:t>
      </w:r>
      <w:r w:rsidR="00C454DA" w:rsidRPr="00B62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Element III: Assurances</w:t>
      </w:r>
    </w:p>
    <w:p w14:paraId="288D68F8" w14:textId="77777777" w:rsidR="007942C7" w:rsidRPr="00B62221" w:rsidRDefault="007942C7" w:rsidP="007942C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32F9FFB2" w14:textId="77777777" w:rsidR="007C6FFE" w:rsidRPr="00B62221" w:rsidRDefault="007C6FFE" w:rsidP="001F739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BD32E26" w14:textId="5FB7E97E" w:rsidR="007C6FFE" w:rsidRPr="00B62221" w:rsidRDefault="008D330B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NDP</w:t>
      </w:r>
      <w:r w:rsidR="007C6FFE" w:rsidRPr="00B62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Element IV: Affirmative Outreach</w:t>
      </w:r>
    </w:p>
    <w:p w14:paraId="2F9E4385" w14:textId="77777777" w:rsidR="007C6FFE" w:rsidRPr="00B62221" w:rsidRDefault="007C6FFE" w:rsidP="001F7397">
      <w:pPr>
        <w:pStyle w:val="Heading3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</w:rPr>
      </w:pPr>
      <w:r w:rsidRPr="00B62221">
        <w:rPr>
          <w:rFonts w:ascii="Times New Roman" w:hAnsi="Times New Roman" w:cs="Times New Roman"/>
          <w:b/>
          <w:color w:val="auto"/>
        </w:rPr>
        <w:t>Communications and Outreach</w:t>
      </w:r>
    </w:p>
    <w:p w14:paraId="5400B18F" w14:textId="77777777" w:rsidR="007942C7" w:rsidRPr="007942C7" w:rsidRDefault="007942C7" w:rsidP="007942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080868FF" w14:textId="77777777" w:rsidR="00E90171" w:rsidRPr="00E90171" w:rsidRDefault="00E90171" w:rsidP="00E901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040E5" w14:textId="77777777" w:rsidR="007C6FFE" w:rsidRPr="00B62221" w:rsidRDefault="007C6FFE" w:rsidP="001F7397">
      <w:pPr>
        <w:pStyle w:val="Heading3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</w:rPr>
      </w:pPr>
      <w:r w:rsidRPr="00B62221">
        <w:rPr>
          <w:rFonts w:ascii="Times New Roman" w:hAnsi="Times New Roman" w:cs="Times New Roman"/>
          <w:b/>
          <w:color w:val="auto"/>
        </w:rPr>
        <w:t>Access for LEP Customers</w:t>
      </w:r>
    </w:p>
    <w:p w14:paraId="45FA94C5" w14:textId="77777777" w:rsidR="007942C7" w:rsidRPr="007942C7" w:rsidRDefault="007942C7" w:rsidP="007942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1664B624" w14:textId="77777777" w:rsidR="007C6FFE" w:rsidRPr="00B62221" w:rsidRDefault="007C6FFE" w:rsidP="001F739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0AC5221" w14:textId="77777777" w:rsidR="007C6FFE" w:rsidRPr="00B62221" w:rsidRDefault="007C6FFE" w:rsidP="001F7397">
      <w:pPr>
        <w:pStyle w:val="Heading3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</w:rPr>
      </w:pPr>
      <w:r w:rsidRPr="00B62221">
        <w:rPr>
          <w:rFonts w:ascii="Times New Roman" w:hAnsi="Times New Roman" w:cs="Times New Roman"/>
          <w:b/>
          <w:color w:val="auto"/>
        </w:rPr>
        <w:t>Access for Customers with Disabilities</w:t>
      </w:r>
    </w:p>
    <w:p w14:paraId="244D6E3C" w14:textId="77777777" w:rsidR="007942C7" w:rsidRPr="007942C7" w:rsidRDefault="007942C7" w:rsidP="007942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05D99F29" w14:textId="77777777" w:rsidR="00F0394F" w:rsidRPr="00F0394F" w:rsidRDefault="00F0394F" w:rsidP="00F0394F">
      <w:pPr>
        <w:pStyle w:val="ColumnIndent"/>
        <w:keepNext/>
        <w:ind w:left="0"/>
        <w:rPr>
          <w:rFonts w:ascii="Times New Roman" w:eastAsiaTheme="minorEastAsia" w:hAnsi="Times New Roman"/>
          <w:kern w:val="28"/>
          <w:szCs w:val="24"/>
        </w:rPr>
      </w:pPr>
    </w:p>
    <w:p w14:paraId="16D5926C" w14:textId="784F180B" w:rsidR="007C6FFE" w:rsidRPr="00B62221" w:rsidRDefault="008D330B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NDP</w:t>
      </w:r>
      <w:r w:rsidR="007C6FFE" w:rsidRPr="00B62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Element V: Compliance with Section 504</w:t>
      </w:r>
    </w:p>
    <w:p w14:paraId="1A5EEC0A" w14:textId="77777777" w:rsidR="007C6FFE" w:rsidRPr="00B62221" w:rsidRDefault="007C6FFE" w:rsidP="001F7397">
      <w:pPr>
        <w:pStyle w:val="Heading3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</w:rPr>
      </w:pPr>
      <w:r w:rsidRPr="00B62221">
        <w:rPr>
          <w:rFonts w:ascii="Times New Roman" w:hAnsi="Times New Roman" w:cs="Times New Roman"/>
          <w:b/>
          <w:color w:val="auto"/>
        </w:rPr>
        <w:t>Nondiscrimination On the Basis of Disability</w:t>
      </w:r>
    </w:p>
    <w:p w14:paraId="75510AA6" w14:textId="77777777" w:rsidR="007942C7" w:rsidRPr="007942C7" w:rsidRDefault="007942C7" w:rsidP="007942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07493955" w14:textId="77777777" w:rsidR="007C6FFE" w:rsidRPr="00B62221" w:rsidRDefault="007C6FFE" w:rsidP="00737D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2936F7" w14:textId="21494AF9" w:rsidR="007C6FFE" w:rsidRPr="00B62221" w:rsidRDefault="008D330B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NDP</w:t>
      </w:r>
      <w:r w:rsidR="007C6FFE" w:rsidRPr="00B62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Element VI: Data and Information Collection and Maintenance</w:t>
      </w:r>
    </w:p>
    <w:p w14:paraId="2A8B0C5E" w14:textId="77777777" w:rsidR="007942C7" w:rsidRPr="007942C7" w:rsidRDefault="007942C7" w:rsidP="00794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0E3F44A2" w14:textId="77777777" w:rsidR="007C6FFE" w:rsidRPr="00B62221" w:rsidRDefault="007C6FFE" w:rsidP="001F739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C38AE07" w14:textId="55EF8172" w:rsidR="007C6FFE" w:rsidRPr="00B62221" w:rsidRDefault="008D330B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NDP</w:t>
      </w:r>
      <w:r w:rsidR="007C6FFE" w:rsidRPr="00B62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Element VII: Monitoring Recipients for Compliance</w:t>
      </w:r>
    </w:p>
    <w:p w14:paraId="26B2C890" w14:textId="77777777" w:rsidR="007942C7" w:rsidRPr="00B62221" w:rsidRDefault="007942C7" w:rsidP="007942C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05A54887" w14:textId="77777777" w:rsidR="00FA5316" w:rsidRPr="00FA5316" w:rsidRDefault="00FA5316" w:rsidP="00FA531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8AE7BF7" w14:textId="4CAA5067" w:rsidR="007C6FFE" w:rsidRPr="00B62221" w:rsidRDefault="008D330B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NDP</w:t>
      </w:r>
      <w:r w:rsidR="007C6FFE" w:rsidRPr="00B62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Element VIII: Complaint Processing Procedures</w:t>
      </w:r>
    </w:p>
    <w:p w14:paraId="7A4C634B" w14:textId="77777777" w:rsidR="007942C7" w:rsidRPr="007942C7" w:rsidRDefault="007942C7" w:rsidP="00794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</w:p>
    <w:p w14:paraId="2623EDB4" w14:textId="77777777" w:rsidR="007C6FFE" w:rsidRPr="00B62221" w:rsidRDefault="007C6FFE" w:rsidP="001F739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B62C8DD" w14:textId="7C9AB413" w:rsidR="007C6FFE" w:rsidRPr="00B62221" w:rsidRDefault="008D330B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NDP</w:t>
      </w:r>
      <w:r w:rsidR="007C6FFE" w:rsidRPr="00B62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Element IX: Corrective Actions/Sanctions</w:t>
      </w:r>
    </w:p>
    <w:p w14:paraId="27C0A226" w14:textId="187D4519" w:rsidR="007C6FFE" w:rsidRPr="00B62221" w:rsidRDefault="007942C7" w:rsidP="001F739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corrective actions/sanctions.</w:t>
      </w:r>
    </w:p>
    <w:p w14:paraId="241959CF" w14:textId="77777777" w:rsidR="007C6FFE" w:rsidRPr="00B62221" w:rsidRDefault="007C6FFE" w:rsidP="001F739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39C42A4" w14:textId="30DD1E7F" w:rsidR="00380E44" w:rsidRPr="00B62221" w:rsidRDefault="00A91F2C" w:rsidP="001F7397">
      <w:pPr>
        <w:pStyle w:val="Heading1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4E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WorkSource </w:t>
      </w:r>
      <w:r w:rsidR="007942C7">
        <w:rPr>
          <w:rFonts w:ascii="Times New Roman" w:hAnsi="Times New Roman" w:cs="Times New Roman"/>
          <w:b/>
          <w:color w:val="auto"/>
          <w:sz w:val="24"/>
          <w:szCs w:val="24"/>
        </w:rPr>
        <w:t>Site</w:t>
      </w:r>
      <w:r w:rsidR="00B42E5F" w:rsidRPr="00044E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Walkthrough</w:t>
      </w:r>
    </w:p>
    <w:p w14:paraId="4CB593ED" w14:textId="77777777" w:rsidR="00AB4692" w:rsidRPr="00B62221" w:rsidRDefault="00AB4692" w:rsidP="001F7397">
      <w:pPr>
        <w:widowControl/>
        <w:overflowPunct/>
        <w:adjustRightInd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F8B8CC" w14:textId="77777777" w:rsidR="00AB4692" w:rsidRPr="00B62221" w:rsidRDefault="00AB4692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221">
        <w:rPr>
          <w:rFonts w:ascii="Times New Roman" w:hAnsi="Times New Roman" w:cs="Times New Roman"/>
          <w:b/>
          <w:color w:val="auto"/>
          <w:sz w:val="24"/>
          <w:szCs w:val="24"/>
        </w:rPr>
        <w:t>EO Posters</w:t>
      </w:r>
    </w:p>
    <w:p w14:paraId="2FA7B6BA" w14:textId="6F248DDA" w:rsidR="007942C7" w:rsidRPr="007942C7" w:rsidRDefault="007942C7" w:rsidP="00B4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  <w:r w:rsidR="00B461D6">
        <w:rPr>
          <w:rFonts w:ascii="Times New Roman" w:hAnsi="Times New Roman" w:cs="Times New Roman"/>
          <w:sz w:val="24"/>
          <w:szCs w:val="24"/>
        </w:rPr>
        <w:t xml:space="preserve"> If issues found, summarize how they were corrected.</w:t>
      </w:r>
    </w:p>
    <w:p w14:paraId="25A436C4" w14:textId="77777777" w:rsidR="00F31952" w:rsidRPr="00FE3A87" w:rsidRDefault="00F31952" w:rsidP="00F319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69D370" w14:textId="77777777" w:rsidR="00AB4692" w:rsidRPr="00B62221" w:rsidRDefault="00AB4692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221">
        <w:rPr>
          <w:rFonts w:ascii="Times New Roman" w:hAnsi="Times New Roman" w:cs="Times New Roman"/>
          <w:b/>
          <w:color w:val="auto"/>
          <w:sz w:val="24"/>
          <w:szCs w:val="24"/>
        </w:rPr>
        <w:t>EO Tagline</w:t>
      </w:r>
    </w:p>
    <w:p w14:paraId="5019CAE5" w14:textId="735EDA08" w:rsidR="007942C7" w:rsidRPr="007942C7" w:rsidRDefault="007942C7" w:rsidP="00B4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  <w:r w:rsidR="00B461D6">
        <w:rPr>
          <w:rFonts w:ascii="Times New Roman" w:hAnsi="Times New Roman" w:cs="Times New Roman"/>
          <w:sz w:val="24"/>
          <w:szCs w:val="24"/>
        </w:rPr>
        <w:t xml:space="preserve"> If issues found, summarize how they were corrected.</w:t>
      </w:r>
    </w:p>
    <w:p w14:paraId="6AB43059" w14:textId="77777777" w:rsidR="00AB4692" w:rsidRPr="00B62221" w:rsidRDefault="00AB4692" w:rsidP="001F7397">
      <w:pPr>
        <w:widowControl/>
        <w:overflowPunct/>
        <w:adjustRightInd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AFAAAA" w14:textId="77777777" w:rsidR="00AB4692" w:rsidRPr="00B62221" w:rsidRDefault="00AB4692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221">
        <w:rPr>
          <w:rFonts w:ascii="Times New Roman" w:hAnsi="Times New Roman" w:cs="Times New Roman"/>
          <w:b/>
          <w:color w:val="auto"/>
          <w:sz w:val="24"/>
          <w:szCs w:val="24"/>
        </w:rPr>
        <w:t>Assistive Technology</w:t>
      </w:r>
    </w:p>
    <w:p w14:paraId="4AD37E12" w14:textId="77777777" w:rsidR="00B461D6" w:rsidRPr="007942C7" w:rsidRDefault="00B461D6" w:rsidP="00B4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  <w:r>
        <w:rPr>
          <w:rFonts w:ascii="Times New Roman" w:hAnsi="Times New Roman" w:cs="Times New Roman"/>
          <w:sz w:val="24"/>
          <w:szCs w:val="24"/>
        </w:rPr>
        <w:t xml:space="preserve"> If issues found, summarize how they were corrected.</w:t>
      </w:r>
    </w:p>
    <w:p w14:paraId="61A06E39" w14:textId="77777777" w:rsidR="002C42E3" w:rsidRPr="00B62221" w:rsidRDefault="002C42E3" w:rsidP="004B515E">
      <w:pPr>
        <w:widowControl/>
        <w:overflowPunct/>
        <w:adjustRightInd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B16E67" w14:textId="77777777" w:rsidR="00AB4692" w:rsidRPr="00B62221" w:rsidRDefault="00AB4692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22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Building Accessibility</w:t>
      </w:r>
    </w:p>
    <w:p w14:paraId="2E985347" w14:textId="77777777" w:rsidR="00B461D6" w:rsidRPr="007942C7" w:rsidRDefault="00B461D6" w:rsidP="00B4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  <w:r>
        <w:rPr>
          <w:rFonts w:ascii="Times New Roman" w:hAnsi="Times New Roman" w:cs="Times New Roman"/>
          <w:sz w:val="24"/>
          <w:szCs w:val="24"/>
        </w:rPr>
        <w:t xml:space="preserve"> If issues found, summarize how they were corrected.</w:t>
      </w:r>
    </w:p>
    <w:p w14:paraId="10EC44E4" w14:textId="24BFA35C" w:rsidR="00044EA1" w:rsidRDefault="00044EA1" w:rsidP="00B461D6">
      <w:pPr>
        <w:widowControl/>
        <w:overflowPunct/>
        <w:adjustRightInd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8A3F02" w14:textId="77777777" w:rsidR="00AB4692" w:rsidRPr="00B62221" w:rsidRDefault="00AB4692" w:rsidP="001F7397">
      <w:pPr>
        <w:pStyle w:val="Heading2"/>
        <w:spacing w:before="0" w:line="240" w:lineRule="auto"/>
        <w:ind w:left="36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221">
        <w:rPr>
          <w:rFonts w:ascii="Times New Roman" w:hAnsi="Times New Roman" w:cs="Times New Roman"/>
          <w:b/>
          <w:color w:val="auto"/>
          <w:sz w:val="24"/>
          <w:szCs w:val="24"/>
        </w:rPr>
        <w:t>Reception/Welcome Area</w:t>
      </w:r>
    </w:p>
    <w:p w14:paraId="66EACEB8" w14:textId="77777777" w:rsidR="00B461D6" w:rsidRPr="007942C7" w:rsidRDefault="00B461D6" w:rsidP="00B4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Summarize how the service provider is complying.</w:t>
      </w:r>
      <w:r>
        <w:rPr>
          <w:rFonts w:ascii="Times New Roman" w:hAnsi="Times New Roman" w:cs="Times New Roman"/>
          <w:sz w:val="24"/>
          <w:szCs w:val="24"/>
        </w:rPr>
        <w:t xml:space="preserve"> If issues found, summarize how they were corrected.</w:t>
      </w:r>
    </w:p>
    <w:p w14:paraId="69B352D7" w14:textId="77777777" w:rsidR="00425147" w:rsidRPr="00B62221" w:rsidRDefault="00425147" w:rsidP="001F73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52C64F7" w14:textId="77777777" w:rsidR="007942C7" w:rsidRPr="007942C7" w:rsidRDefault="007942C7" w:rsidP="00794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42C7">
        <w:rPr>
          <w:rFonts w:ascii="Times New Roman" w:hAnsi="Times New Roman" w:cs="Times New Roman"/>
          <w:b/>
          <w:sz w:val="24"/>
          <w:szCs w:val="24"/>
        </w:rPr>
        <w:t>Review Deficiencies</w:t>
      </w:r>
    </w:p>
    <w:p w14:paraId="735826BF" w14:textId="32348B8B" w:rsidR="007942C7" w:rsidRPr="007942C7" w:rsidRDefault="007942C7" w:rsidP="007942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provider </w:t>
      </w:r>
      <w:r w:rsidRPr="007942C7">
        <w:rPr>
          <w:rFonts w:ascii="Times New Roman" w:hAnsi="Times New Roman" w:cs="Times New Roman"/>
          <w:sz w:val="24"/>
          <w:szCs w:val="24"/>
        </w:rPr>
        <w:t xml:space="preserve">immediately corrected most issues such </w:t>
      </w:r>
      <w:proofErr w:type="gramStart"/>
      <w:r w:rsidRPr="007942C7">
        <w:rPr>
          <w:rFonts w:ascii="Times New Roman" w:hAnsi="Times New Roman" w:cs="Times New Roman"/>
          <w:sz w:val="24"/>
          <w:szCs w:val="24"/>
        </w:rPr>
        <w:t xml:space="preserve">as </w:t>
      </w:r>
      <w:r w:rsidR="00B461D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942C7">
        <w:rPr>
          <w:rFonts w:ascii="Times New Roman" w:hAnsi="Times New Roman" w:cs="Times New Roman"/>
          <w:sz w:val="24"/>
          <w:szCs w:val="24"/>
        </w:rPr>
        <w:t>. Following are the identified unresolved deficiencies, and corresponding corrective actions and due dates.</w:t>
      </w:r>
    </w:p>
    <w:p w14:paraId="17D3705D" w14:textId="74214E90" w:rsidR="007942C7" w:rsidRDefault="007942C7" w:rsidP="007942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CFE053" w14:textId="16730CC8" w:rsidR="00B461D6" w:rsidRPr="00B461D6" w:rsidRDefault="00B461D6" w:rsidP="00794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1D6">
        <w:rPr>
          <w:rFonts w:ascii="Times New Roman" w:hAnsi="Times New Roman" w:cs="Times New Roman"/>
          <w:b/>
          <w:sz w:val="24"/>
          <w:szCs w:val="24"/>
        </w:rPr>
        <w:t>Service provider or WS site</w:t>
      </w:r>
    </w:p>
    <w:p w14:paraId="2106A19F" w14:textId="77777777" w:rsidR="00B461D6" w:rsidRPr="007942C7" w:rsidRDefault="00B461D6" w:rsidP="007942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68EF0D" w14:textId="71A43EE9" w:rsidR="007942C7" w:rsidRPr="00B461D6" w:rsidRDefault="007942C7" w:rsidP="00B461D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D6">
        <w:rPr>
          <w:rFonts w:ascii="Times New Roman" w:hAnsi="Times New Roman" w:cs="Times New Roman"/>
          <w:b/>
          <w:sz w:val="24"/>
          <w:szCs w:val="24"/>
        </w:rPr>
        <w:t>Deficiency:</w:t>
      </w:r>
      <w:r w:rsidRPr="00B461D6">
        <w:rPr>
          <w:rFonts w:ascii="Times New Roman" w:hAnsi="Times New Roman" w:cs="Times New Roman"/>
          <w:sz w:val="24"/>
          <w:szCs w:val="24"/>
        </w:rPr>
        <w:t xml:space="preserve"> The pressure required to open the restroom doors at </w:t>
      </w:r>
      <w:r w:rsidR="00B461D6">
        <w:rPr>
          <w:rFonts w:ascii="Times New Roman" w:hAnsi="Times New Roman" w:cs="Times New Roman"/>
          <w:sz w:val="24"/>
          <w:szCs w:val="24"/>
        </w:rPr>
        <w:t>SITE</w:t>
      </w:r>
      <w:r w:rsidRPr="00B461D6">
        <w:rPr>
          <w:rFonts w:ascii="Times New Roman" w:hAnsi="Times New Roman" w:cs="Times New Roman"/>
          <w:sz w:val="24"/>
          <w:szCs w:val="24"/>
        </w:rPr>
        <w:t xml:space="preserve"> is greater than 5 pounds. </w:t>
      </w:r>
    </w:p>
    <w:p w14:paraId="40A7A8A1" w14:textId="77777777" w:rsidR="007942C7" w:rsidRPr="00CA3537" w:rsidRDefault="007942C7" w:rsidP="007942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FCF955" w14:textId="77777777" w:rsidR="007942C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461D6">
        <w:rPr>
          <w:rFonts w:ascii="Times New Roman" w:hAnsi="Times New Roman" w:cs="Times New Roman"/>
          <w:b/>
          <w:sz w:val="24"/>
          <w:szCs w:val="24"/>
        </w:rPr>
        <w:t>Requirement:</w:t>
      </w:r>
      <w:r w:rsidRPr="007942C7">
        <w:rPr>
          <w:rFonts w:ascii="Times New Roman" w:hAnsi="Times New Roman" w:cs="Times New Roman"/>
          <w:sz w:val="24"/>
          <w:szCs w:val="24"/>
        </w:rPr>
        <w:t xml:space="preserve"> </w:t>
      </w:r>
      <w:r w:rsidRPr="00CA3537">
        <w:rPr>
          <w:rFonts w:ascii="Times New Roman" w:hAnsi="Times New Roman" w:cs="Times New Roman"/>
          <w:sz w:val="24"/>
          <w:szCs w:val="24"/>
        </w:rPr>
        <w:t>The regulations for Title II of the Americans with Disabilities Act, as amended, at 36 C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A3537">
        <w:rPr>
          <w:rFonts w:ascii="Times New Roman" w:hAnsi="Times New Roman" w:cs="Times New Roman"/>
          <w:sz w:val="24"/>
          <w:szCs w:val="24"/>
        </w:rPr>
        <w:t>R Part 1191 Appendix D 404.2.9 provides:</w:t>
      </w:r>
    </w:p>
    <w:p w14:paraId="55F631B5" w14:textId="77777777" w:rsidR="007942C7" w:rsidRPr="00CA353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60DDC218" w14:textId="77777777" w:rsidR="007942C7" w:rsidRPr="007942C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“Door and Gate Opening Force. Fire doors shall have a minimum opening force allowable by the appropriate administrative authority. The force for pushing or pulling open a door or gate other than fire doors shall be as follows: Interior hinged doors and gates: 5 pounds (22.2 N) maximum.” [Emphasis added]</w:t>
      </w:r>
    </w:p>
    <w:p w14:paraId="366C0EA7" w14:textId="77777777" w:rsidR="007942C7" w:rsidRPr="007942C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6A7AE0C7" w14:textId="77777777" w:rsidR="007942C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461D6">
        <w:rPr>
          <w:rFonts w:ascii="Times New Roman" w:hAnsi="Times New Roman" w:cs="Times New Roman"/>
          <w:b/>
          <w:sz w:val="24"/>
          <w:szCs w:val="24"/>
        </w:rPr>
        <w:t>Corrective Action:</w:t>
      </w:r>
      <w:r w:rsidRPr="00CA3537">
        <w:rPr>
          <w:rFonts w:ascii="Times New Roman" w:hAnsi="Times New Roman" w:cs="Times New Roman"/>
          <w:sz w:val="24"/>
          <w:szCs w:val="24"/>
        </w:rPr>
        <w:t xml:space="preserve"> The restroom doors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537">
        <w:rPr>
          <w:rFonts w:ascii="Times New Roman" w:hAnsi="Times New Roman" w:cs="Times New Roman"/>
          <w:sz w:val="24"/>
          <w:szCs w:val="24"/>
        </w:rPr>
        <w:t>shall be adjusted so that the pressure required to open the doors is less than 5 pounds.</w:t>
      </w:r>
    </w:p>
    <w:p w14:paraId="070E1068" w14:textId="77777777" w:rsidR="007942C7" w:rsidRPr="00CA353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1981EA7" w14:textId="3032F877" w:rsidR="007942C7" w:rsidRPr="00CA353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461D6">
        <w:rPr>
          <w:rFonts w:ascii="Times New Roman" w:hAnsi="Times New Roman" w:cs="Times New Roman"/>
          <w:b/>
          <w:sz w:val="24"/>
          <w:szCs w:val="24"/>
        </w:rPr>
        <w:t>Due Date:</w:t>
      </w:r>
      <w:r w:rsidRPr="00CA3537">
        <w:rPr>
          <w:rFonts w:ascii="Times New Roman" w:hAnsi="Times New Roman" w:cs="Times New Roman"/>
          <w:sz w:val="24"/>
          <w:szCs w:val="24"/>
        </w:rPr>
        <w:t xml:space="preserve"> This should be completed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B461D6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CC157" w14:textId="77777777" w:rsidR="007942C7" w:rsidRPr="007942C7" w:rsidRDefault="007942C7" w:rsidP="007942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BC3A00" w14:textId="219BB1C4" w:rsidR="007942C7" w:rsidRPr="00B461D6" w:rsidRDefault="007942C7" w:rsidP="00B461D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D6">
        <w:rPr>
          <w:rFonts w:ascii="Times New Roman" w:hAnsi="Times New Roman" w:cs="Times New Roman"/>
          <w:b/>
          <w:sz w:val="24"/>
          <w:szCs w:val="24"/>
        </w:rPr>
        <w:t>Deficiency:</w:t>
      </w:r>
      <w:r w:rsidRPr="00B461D6">
        <w:rPr>
          <w:rFonts w:ascii="Times New Roman" w:hAnsi="Times New Roman" w:cs="Times New Roman"/>
          <w:sz w:val="24"/>
          <w:szCs w:val="24"/>
        </w:rPr>
        <w:t xml:space="preserve"> The close rate on the restroom doors at </w:t>
      </w:r>
      <w:r w:rsidR="00B461D6">
        <w:rPr>
          <w:rFonts w:ascii="Times New Roman" w:hAnsi="Times New Roman" w:cs="Times New Roman"/>
          <w:sz w:val="24"/>
          <w:szCs w:val="24"/>
        </w:rPr>
        <w:t>SITE</w:t>
      </w:r>
      <w:r w:rsidRPr="00B461D6">
        <w:rPr>
          <w:rFonts w:ascii="Times New Roman" w:hAnsi="Times New Roman" w:cs="Times New Roman"/>
          <w:sz w:val="24"/>
          <w:szCs w:val="24"/>
        </w:rPr>
        <w:t xml:space="preserve"> is less than 5 seconds.</w:t>
      </w:r>
    </w:p>
    <w:p w14:paraId="6109E924" w14:textId="77777777" w:rsidR="007942C7" w:rsidRPr="00CA3537" w:rsidRDefault="007942C7" w:rsidP="007942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41ED6F" w14:textId="77777777" w:rsidR="007942C7" w:rsidRPr="00B461D6" w:rsidRDefault="007942C7" w:rsidP="00B461D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61D6">
        <w:rPr>
          <w:rFonts w:ascii="Times New Roman" w:hAnsi="Times New Roman" w:cs="Times New Roman"/>
          <w:b/>
          <w:sz w:val="24"/>
          <w:szCs w:val="24"/>
        </w:rPr>
        <w:t>Requirement:</w:t>
      </w:r>
      <w:r w:rsidRPr="00B461D6">
        <w:rPr>
          <w:rFonts w:ascii="Times New Roman" w:hAnsi="Times New Roman" w:cs="Times New Roman"/>
          <w:sz w:val="24"/>
          <w:szCs w:val="24"/>
        </w:rPr>
        <w:t xml:space="preserve"> The regulations for Title II of the Americans with Disabilities Act, as amended, at 36 CFR Part 1191 Appendix D 404.2.8.1 provides:</w:t>
      </w:r>
    </w:p>
    <w:p w14:paraId="003E8F9F" w14:textId="77777777" w:rsidR="007942C7" w:rsidRPr="00CA3537" w:rsidRDefault="007942C7" w:rsidP="007942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8877F" w14:textId="77777777" w:rsidR="007942C7" w:rsidRPr="007942C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>“Door Closers and Gate Closers. Door closers and gate closers shall be adjusted so that from an open position of 90 degrees, the time required to move the door to a position of 12 degrees from the latch is 5 seconds minimum.” [Emphasis added]</w:t>
      </w:r>
    </w:p>
    <w:p w14:paraId="771310F1" w14:textId="77777777" w:rsidR="007942C7" w:rsidRPr="007942C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17DD4E1" w14:textId="77777777" w:rsidR="007942C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461D6">
        <w:rPr>
          <w:rFonts w:ascii="Times New Roman" w:hAnsi="Times New Roman" w:cs="Times New Roman"/>
          <w:b/>
          <w:sz w:val="24"/>
          <w:szCs w:val="24"/>
        </w:rPr>
        <w:t>Corrective Action:</w:t>
      </w:r>
      <w:r w:rsidRPr="00CA3537">
        <w:rPr>
          <w:rFonts w:ascii="Times New Roman" w:hAnsi="Times New Roman" w:cs="Times New Roman"/>
          <w:sz w:val="24"/>
          <w:szCs w:val="24"/>
        </w:rPr>
        <w:t xml:space="preserve"> The restroom doors</w:t>
      </w:r>
      <w:r>
        <w:rPr>
          <w:rFonts w:ascii="Times New Roman" w:hAnsi="Times New Roman" w:cs="Times New Roman"/>
          <w:sz w:val="24"/>
          <w:szCs w:val="24"/>
        </w:rPr>
        <w:t xml:space="preserve"> room doors</w:t>
      </w:r>
      <w:r w:rsidRPr="00CA3537">
        <w:rPr>
          <w:rFonts w:ascii="Times New Roman" w:hAnsi="Times New Roman" w:cs="Times New Roman"/>
          <w:sz w:val="24"/>
          <w:szCs w:val="24"/>
        </w:rPr>
        <w:t xml:space="preserve"> shall be adjusted so that the time to close is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CA3537">
        <w:rPr>
          <w:rFonts w:ascii="Times New Roman" w:hAnsi="Times New Roman" w:cs="Times New Roman"/>
          <w:sz w:val="24"/>
          <w:szCs w:val="24"/>
        </w:rPr>
        <w:t>less than 5 seconds.</w:t>
      </w:r>
    </w:p>
    <w:p w14:paraId="435C81CC" w14:textId="77777777" w:rsidR="007942C7" w:rsidRPr="00CA3537" w:rsidRDefault="007942C7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03F1FF6" w14:textId="77777777" w:rsidR="00B461D6" w:rsidRPr="00CA3537" w:rsidRDefault="00B461D6" w:rsidP="00B461D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461D6">
        <w:rPr>
          <w:rFonts w:ascii="Times New Roman" w:hAnsi="Times New Roman" w:cs="Times New Roman"/>
          <w:b/>
          <w:sz w:val="24"/>
          <w:szCs w:val="24"/>
        </w:rPr>
        <w:t>Due Date:</w:t>
      </w:r>
      <w:r w:rsidRPr="00CA3537">
        <w:rPr>
          <w:rFonts w:ascii="Times New Roman" w:hAnsi="Times New Roman" w:cs="Times New Roman"/>
          <w:sz w:val="24"/>
          <w:szCs w:val="24"/>
        </w:rPr>
        <w:t xml:space="preserve"> This should be completed </w:t>
      </w:r>
      <w:r>
        <w:rPr>
          <w:rFonts w:ascii="Times New Roman" w:hAnsi="Times New Roman" w:cs="Times New Roman"/>
          <w:sz w:val="24"/>
          <w:szCs w:val="24"/>
        </w:rPr>
        <w:t>by DATE.</w:t>
      </w:r>
    </w:p>
    <w:p w14:paraId="58C30EF1" w14:textId="77777777" w:rsidR="007942C7" w:rsidRPr="007942C7" w:rsidRDefault="007942C7" w:rsidP="007942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EFFFEB" w14:textId="431E7830" w:rsidR="00FA59F4" w:rsidRPr="00AA0717" w:rsidRDefault="00FA59F4" w:rsidP="001F7397">
      <w:pPr>
        <w:pStyle w:val="Heading1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071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Summary</w:t>
      </w:r>
    </w:p>
    <w:p w14:paraId="2D631319" w14:textId="25EAC92F" w:rsidR="00A641F2" w:rsidRPr="00B461D6" w:rsidRDefault="00B461D6" w:rsidP="003E79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42C7">
        <w:rPr>
          <w:rFonts w:ascii="Times New Roman" w:hAnsi="Times New Roman" w:cs="Times New Roman"/>
          <w:sz w:val="24"/>
          <w:szCs w:val="24"/>
        </w:rPr>
        <w:t xml:space="preserve">If you have questions or disagree with the deficiencies, corrective actions or due dates, </w:t>
      </w:r>
      <w:r>
        <w:rPr>
          <w:rFonts w:ascii="Times New Roman" w:hAnsi="Times New Roman" w:cs="Times New Roman"/>
          <w:sz w:val="24"/>
          <w:szCs w:val="24"/>
        </w:rPr>
        <w:t>I wi</w:t>
      </w:r>
      <w:r w:rsidRPr="007942C7">
        <w:rPr>
          <w:rFonts w:ascii="Times New Roman" w:hAnsi="Times New Roman" w:cs="Times New Roman"/>
          <w:sz w:val="24"/>
          <w:szCs w:val="24"/>
        </w:rPr>
        <w:t xml:space="preserve">ll meet with you to discuss the issues. </w:t>
      </w:r>
      <w:r w:rsidRPr="00B461D6">
        <w:rPr>
          <w:rFonts w:ascii="Times New Roman" w:hAnsi="Times New Roman" w:cs="Times New Roman"/>
          <w:sz w:val="24"/>
          <w:szCs w:val="24"/>
        </w:rPr>
        <w:t>T</w:t>
      </w:r>
      <w:r w:rsidR="003E79B5" w:rsidRPr="00B62221">
        <w:rPr>
          <w:rFonts w:ascii="Times New Roman" w:hAnsi="Times New Roman" w:cs="Times New Roman"/>
          <w:sz w:val="24"/>
          <w:szCs w:val="24"/>
        </w:rPr>
        <w:t xml:space="preserve">he process outlined in the </w:t>
      </w:r>
      <w:r w:rsidR="003E79B5">
        <w:rPr>
          <w:rFonts w:ascii="Times New Roman" w:hAnsi="Times New Roman" w:cs="Times New Roman"/>
          <w:sz w:val="24"/>
          <w:szCs w:val="24"/>
        </w:rPr>
        <w:t xml:space="preserve">WIOA Equal Opportunity and Nondiscrimination </w:t>
      </w:r>
      <w:r w:rsidR="003E79B5" w:rsidRPr="00B62221">
        <w:rPr>
          <w:rFonts w:ascii="Times New Roman" w:hAnsi="Times New Roman" w:cs="Times New Roman"/>
          <w:sz w:val="24"/>
          <w:szCs w:val="24"/>
        </w:rPr>
        <w:t xml:space="preserve">Monitoring guide will be followed. If mutual agreement or voluntary compliance cannot be reached, the corrective action procedures provided in the </w:t>
      </w:r>
      <w:r w:rsidR="003E79B5" w:rsidRPr="0071528D">
        <w:rPr>
          <w:rFonts w:ascii="Times New Roman" w:hAnsi="Times New Roman" w:cs="Times New Roman"/>
          <w:sz w:val="24"/>
          <w:szCs w:val="24"/>
        </w:rPr>
        <w:t xml:space="preserve">Washington State </w:t>
      </w:r>
      <w:r w:rsidR="003E79B5">
        <w:rPr>
          <w:rFonts w:ascii="Times New Roman" w:hAnsi="Times New Roman" w:cs="Times New Roman"/>
          <w:sz w:val="24"/>
          <w:szCs w:val="24"/>
        </w:rPr>
        <w:t>Nondiscrimination Plan</w:t>
      </w:r>
      <w:r w:rsidR="003E79B5" w:rsidRPr="0071528D">
        <w:rPr>
          <w:rFonts w:ascii="Times New Roman" w:hAnsi="Times New Roman" w:cs="Times New Roman"/>
          <w:sz w:val="24"/>
          <w:szCs w:val="24"/>
        </w:rPr>
        <w:t xml:space="preserve"> will</w:t>
      </w:r>
      <w:r w:rsidR="003E79B5" w:rsidRPr="00B62221">
        <w:rPr>
          <w:rFonts w:ascii="Times New Roman" w:hAnsi="Times New Roman" w:cs="Times New Roman"/>
          <w:sz w:val="24"/>
          <w:szCs w:val="24"/>
        </w:rPr>
        <w:t xml:space="preserve"> be followed, per the U.S. Department of Labor, Civil Rights Center.</w:t>
      </w:r>
    </w:p>
    <w:sectPr w:rsidR="00A641F2" w:rsidRPr="00B461D6" w:rsidSect="00B700C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EE64" w14:textId="77777777" w:rsidR="002768D7" w:rsidRDefault="002768D7" w:rsidP="00380E44">
      <w:pPr>
        <w:spacing w:after="0" w:line="240" w:lineRule="auto"/>
      </w:pPr>
      <w:r>
        <w:separator/>
      </w:r>
    </w:p>
  </w:endnote>
  <w:endnote w:type="continuationSeparator" w:id="0">
    <w:p w14:paraId="48572D00" w14:textId="77777777" w:rsidR="002768D7" w:rsidRDefault="002768D7" w:rsidP="003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0C7" w14:textId="77777777" w:rsidR="002D598D" w:rsidRDefault="002D598D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94E8" w14:textId="77777777" w:rsidR="002768D7" w:rsidRDefault="002768D7" w:rsidP="00380E44">
      <w:pPr>
        <w:spacing w:after="0" w:line="240" w:lineRule="auto"/>
      </w:pPr>
      <w:r>
        <w:separator/>
      </w:r>
    </w:p>
  </w:footnote>
  <w:footnote w:type="continuationSeparator" w:id="0">
    <w:p w14:paraId="4208DB05" w14:textId="77777777" w:rsidR="002768D7" w:rsidRDefault="002768D7" w:rsidP="003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8A82" w14:textId="1E801AA8" w:rsidR="002D598D" w:rsidRDefault="007942C7" w:rsidP="002D598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WDC</w:t>
    </w:r>
  </w:p>
  <w:p w14:paraId="44150EFB" w14:textId="7E53BECB" w:rsidR="002D598D" w:rsidRDefault="002D598D" w:rsidP="002D598D">
    <w:pPr>
      <w:pStyle w:val="Header"/>
      <w:rPr>
        <w:rFonts w:ascii="Times New Roman" w:hAnsi="Times New Roman" w:cs="Times New Roman"/>
        <w:sz w:val="24"/>
        <w:szCs w:val="24"/>
      </w:rPr>
    </w:pPr>
    <w:r w:rsidRPr="00380E44">
      <w:rPr>
        <w:rFonts w:ascii="Times New Roman" w:hAnsi="Times New Roman" w:cs="Times New Roman"/>
        <w:sz w:val="24"/>
        <w:szCs w:val="24"/>
      </w:rPr>
      <w:t>E</w:t>
    </w:r>
    <w:r w:rsidR="007942C7">
      <w:rPr>
        <w:rFonts w:ascii="Times New Roman" w:hAnsi="Times New Roman" w:cs="Times New Roman"/>
        <w:sz w:val="24"/>
        <w:szCs w:val="24"/>
      </w:rPr>
      <w:t xml:space="preserve">qual </w:t>
    </w:r>
    <w:r>
      <w:rPr>
        <w:rFonts w:ascii="Times New Roman" w:hAnsi="Times New Roman" w:cs="Times New Roman"/>
        <w:sz w:val="24"/>
        <w:szCs w:val="24"/>
      </w:rPr>
      <w:t>O</w:t>
    </w:r>
    <w:r w:rsidR="007942C7">
      <w:rPr>
        <w:rFonts w:ascii="Times New Roman" w:hAnsi="Times New Roman" w:cs="Times New Roman"/>
        <w:sz w:val="24"/>
        <w:szCs w:val="24"/>
      </w:rPr>
      <w:t>pportunity</w:t>
    </w:r>
    <w:r>
      <w:rPr>
        <w:rFonts w:ascii="Times New Roman" w:hAnsi="Times New Roman" w:cs="Times New Roman"/>
        <w:sz w:val="24"/>
        <w:szCs w:val="24"/>
      </w:rPr>
      <w:t xml:space="preserve"> &amp;</w:t>
    </w:r>
    <w:r w:rsidRPr="00380E44">
      <w:rPr>
        <w:rFonts w:ascii="Times New Roman" w:hAnsi="Times New Roman" w:cs="Times New Roman"/>
        <w:sz w:val="24"/>
        <w:szCs w:val="24"/>
      </w:rPr>
      <w:t xml:space="preserve"> Nondiscrimination Monitoring Report</w:t>
    </w:r>
    <w:r w:rsidR="007942C7">
      <w:rPr>
        <w:rFonts w:ascii="Times New Roman" w:hAnsi="Times New Roman" w:cs="Times New Roman"/>
        <w:sz w:val="24"/>
        <w:szCs w:val="24"/>
      </w:rPr>
      <w:t xml:space="preserve"> YEAR</w:t>
    </w:r>
  </w:p>
  <w:p w14:paraId="76EC8C45" w14:textId="77777777" w:rsidR="002D598D" w:rsidRPr="00EB1277" w:rsidRDefault="002D598D" w:rsidP="002D598D">
    <w:pPr>
      <w:pStyle w:val="Header"/>
      <w:rPr>
        <w:rFonts w:ascii="Times New Roman" w:hAnsi="Times New Roman" w:cs="Times New Roman"/>
        <w:sz w:val="24"/>
      </w:rPr>
    </w:pPr>
    <w:r w:rsidRPr="00EB1277">
      <w:rPr>
        <w:rFonts w:ascii="Times New Roman" w:hAnsi="Times New Roman" w:cs="Times New Roman"/>
        <w:bCs/>
        <w:noProof/>
        <w:sz w:val="24"/>
      </w:rPr>
      <w:t xml:space="preserve">Page </w:t>
    </w:r>
    <w:r w:rsidRPr="00EB1277">
      <w:rPr>
        <w:rFonts w:ascii="Times New Roman" w:hAnsi="Times New Roman" w:cs="Times New Roman"/>
        <w:bCs/>
        <w:noProof/>
        <w:sz w:val="24"/>
      </w:rPr>
      <w:fldChar w:fldCharType="begin"/>
    </w:r>
    <w:r w:rsidRPr="00EB1277">
      <w:rPr>
        <w:rFonts w:ascii="Times New Roman" w:hAnsi="Times New Roman" w:cs="Times New Roman"/>
        <w:bCs/>
        <w:noProof/>
        <w:sz w:val="24"/>
      </w:rPr>
      <w:instrText xml:space="preserve"> PAGE  \* Arabic  \* MERGEFORMAT </w:instrText>
    </w:r>
    <w:r w:rsidRPr="00EB1277">
      <w:rPr>
        <w:rFonts w:ascii="Times New Roman" w:hAnsi="Times New Roman" w:cs="Times New Roman"/>
        <w:bCs/>
        <w:noProof/>
        <w:sz w:val="24"/>
      </w:rPr>
      <w:fldChar w:fldCharType="separate"/>
    </w:r>
    <w:r w:rsidR="0003755D">
      <w:rPr>
        <w:rFonts w:ascii="Times New Roman" w:hAnsi="Times New Roman" w:cs="Times New Roman"/>
        <w:bCs/>
        <w:noProof/>
        <w:sz w:val="24"/>
      </w:rPr>
      <w:t>6</w:t>
    </w:r>
    <w:r w:rsidRPr="00EB1277">
      <w:rPr>
        <w:rFonts w:ascii="Times New Roman" w:hAnsi="Times New Roman" w:cs="Times New Roman"/>
        <w:bCs/>
        <w:noProof/>
        <w:sz w:val="24"/>
      </w:rPr>
      <w:fldChar w:fldCharType="end"/>
    </w:r>
    <w:r w:rsidRPr="00EB1277">
      <w:rPr>
        <w:rFonts w:ascii="Times New Roman" w:hAnsi="Times New Roman" w:cs="Times New Roman"/>
        <w:bCs/>
        <w:noProof/>
        <w:sz w:val="24"/>
      </w:rPr>
      <w:t xml:space="preserve"> of </w:t>
    </w:r>
    <w:r w:rsidRPr="00EB1277">
      <w:rPr>
        <w:rFonts w:ascii="Times New Roman" w:hAnsi="Times New Roman" w:cs="Times New Roman"/>
        <w:bCs/>
        <w:noProof/>
        <w:sz w:val="24"/>
      </w:rPr>
      <w:fldChar w:fldCharType="begin"/>
    </w:r>
    <w:r w:rsidRPr="00EB1277">
      <w:rPr>
        <w:rFonts w:ascii="Times New Roman" w:hAnsi="Times New Roman" w:cs="Times New Roman"/>
        <w:bCs/>
        <w:noProof/>
        <w:sz w:val="24"/>
      </w:rPr>
      <w:instrText xml:space="preserve"> NUMPAGES  \* Arabic  \* MERGEFORMAT </w:instrText>
    </w:r>
    <w:r w:rsidRPr="00EB1277">
      <w:rPr>
        <w:rFonts w:ascii="Times New Roman" w:hAnsi="Times New Roman" w:cs="Times New Roman"/>
        <w:bCs/>
        <w:noProof/>
        <w:sz w:val="24"/>
      </w:rPr>
      <w:fldChar w:fldCharType="separate"/>
    </w:r>
    <w:r w:rsidR="0003755D">
      <w:rPr>
        <w:rFonts w:ascii="Times New Roman" w:hAnsi="Times New Roman" w:cs="Times New Roman"/>
        <w:bCs/>
        <w:noProof/>
        <w:sz w:val="24"/>
      </w:rPr>
      <w:t>6</w:t>
    </w:r>
    <w:r w:rsidRPr="00EB1277">
      <w:rPr>
        <w:rFonts w:ascii="Times New Roman" w:hAnsi="Times New Roman" w:cs="Times New Roman"/>
        <w:bCs/>
        <w:noProof/>
        <w:sz w:val="24"/>
      </w:rPr>
      <w:fldChar w:fldCharType="end"/>
    </w:r>
  </w:p>
  <w:p w14:paraId="6BCE3224" w14:textId="77777777" w:rsidR="002D598D" w:rsidRDefault="002D598D" w:rsidP="002D598D">
    <w:pPr>
      <w:pStyle w:val="Header"/>
    </w:pPr>
  </w:p>
  <w:p w14:paraId="606691AD" w14:textId="77777777" w:rsidR="002D598D" w:rsidRPr="005A4B03" w:rsidRDefault="002D598D" w:rsidP="002D5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7C7E" w14:textId="10513679" w:rsidR="002D598D" w:rsidRDefault="002D598D">
    <w:pPr>
      <w:pStyle w:val="Header"/>
    </w:pPr>
    <w:r w:rsidRPr="00EB4850">
      <w:rPr>
        <w:noProof/>
      </w:rPr>
      <w:drawing>
        <wp:inline distT="0" distB="0" distL="0" distR="0" wp14:anchorId="235392D9" wp14:editId="58355051">
          <wp:extent cx="3349759" cy="560833"/>
          <wp:effectExtent l="0" t="0" r="3175" b="0"/>
          <wp:docPr id="1" name="Picture 6" descr="1color_oneline_addre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_oneline_addres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9759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3BE"/>
    <w:multiLevelType w:val="hybridMultilevel"/>
    <w:tmpl w:val="8BB8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A64"/>
    <w:multiLevelType w:val="hybridMultilevel"/>
    <w:tmpl w:val="B6F68FC0"/>
    <w:lvl w:ilvl="0" w:tplc="339AEEFE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A73"/>
    <w:multiLevelType w:val="hybridMultilevel"/>
    <w:tmpl w:val="F8BE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6F58"/>
    <w:multiLevelType w:val="hybridMultilevel"/>
    <w:tmpl w:val="6F44E80E"/>
    <w:lvl w:ilvl="0" w:tplc="339AEEFE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21486"/>
    <w:multiLevelType w:val="hybridMultilevel"/>
    <w:tmpl w:val="12383F3A"/>
    <w:lvl w:ilvl="0" w:tplc="339AEEFE"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074D3"/>
    <w:multiLevelType w:val="hybridMultilevel"/>
    <w:tmpl w:val="DB0CF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4511E"/>
    <w:multiLevelType w:val="hybridMultilevel"/>
    <w:tmpl w:val="54EA0FCE"/>
    <w:lvl w:ilvl="0" w:tplc="AB80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0EA4"/>
    <w:multiLevelType w:val="hybridMultilevel"/>
    <w:tmpl w:val="6A90B6F2"/>
    <w:lvl w:ilvl="0" w:tplc="339AEEFE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3444F"/>
    <w:multiLevelType w:val="hybridMultilevel"/>
    <w:tmpl w:val="AAA87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13924"/>
    <w:multiLevelType w:val="hybridMultilevel"/>
    <w:tmpl w:val="C93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1726"/>
    <w:multiLevelType w:val="hybridMultilevel"/>
    <w:tmpl w:val="6A9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87777"/>
    <w:multiLevelType w:val="hybridMultilevel"/>
    <w:tmpl w:val="A1AA8D9C"/>
    <w:lvl w:ilvl="0" w:tplc="339AEEF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2670"/>
    <w:multiLevelType w:val="hybridMultilevel"/>
    <w:tmpl w:val="82D81A30"/>
    <w:lvl w:ilvl="0" w:tplc="339AEEFE"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21E4B"/>
    <w:multiLevelType w:val="hybridMultilevel"/>
    <w:tmpl w:val="C854F3D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07EE"/>
    <w:multiLevelType w:val="hybridMultilevel"/>
    <w:tmpl w:val="D82C9678"/>
    <w:lvl w:ilvl="0" w:tplc="44E2F632">
      <w:start w:val="2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E4331"/>
    <w:multiLevelType w:val="hybridMultilevel"/>
    <w:tmpl w:val="C0783F8A"/>
    <w:lvl w:ilvl="0" w:tplc="495467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C4E7F"/>
    <w:multiLevelType w:val="hybridMultilevel"/>
    <w:tmpl w:val="5680E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6D35F8"/>
    <w:multiLevelType w:val="hybridMultilevel"/>
    <w:tmpl w:val="6CB012EA"/>
    <w:lvl w:ilvl="0" w:tplc="339AEEFE"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1215D"/>
    <w:multiLevelType w:val="hybridMultilevel"/>
    <w:tmpl w:val="74A0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C672B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5D63"/>
    <w:multiLevelType w:val="hybridMultilevel"/>
    <w:tmpl w:val="EE40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63FB"/>
    <w:multiLevelType w:val="hybridMultilevel"/>
    <w:tmpl w:val="9F365BCC"/>
    <w:lvl w:ilvl="0" w:tplc="339AEEFE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357F"/>
    <w:multiLevelType w:val="hybridMultilevel"/>
    <w:tmpl w:val="8222FAB0"/>
    <w:lvl w:ilvl="0" w:tplc="339AEEFE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F725FE"/>
    <w:multiLevelType w:val="hybridMultilevel"/>
    <w:tmpl w:val="95EE411A"/>
    <w:lvl w:ilvl="0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30BE"/>
    <w:multiLevelType w:val="hybridMultilevel"/>
    <w:tmpl w:val="4A1A3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CC3D13"/>
    <w:multiLevelType w:val="hybridMultilevel"/>
    <w:tmpl w:val="6DC6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F4EBE"/>
    <w:multiLevelType w:val="hybridMultilevel"/>
    <w:tmpl w:val="49E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46691"/>
    <w:multiLevelType w:val="hybridMultilevel"/>
    <w:tmpl w:val="2CB0B854"/>
    <w:lvl w:ilvl="0" w:tplc="339AEEFE"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90225B"/>
    <w:multiLevelType w:val="hybridMultilevel"/>
    <w:tmpl w:val="E514BB44"/>
    <w:lvl w:ilvl="0" w:tplc="AB80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753D"/>
    <w:multiLevelType w:val="hybridMultilevel"/>
    <w:tmpl w:val="32123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0A1387"/>
    <w:multiLevelType w:val="hybridMultilevel"/>
    <w:tmpl w:val="C3647328"/>
    <w:lvl w:ilvl="0" w:tplc="339AEEFE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7916E65"/>
    <w:multiLevelType w:val="hybridMultilevel"/>
    <w:tmpl w:val="4FD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63604"/>
    <w:multiLevelType w:val="hybridMultilevel"/>
    <w:tmpl w:val="0BFC2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AA2AEB"/>
    <w:multiLevelType w:val="hybridMultilevel"/>
    <w:tmpl w:val="67360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C672B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9529C"/>
    <w:multiLevelType w:val="hybridMultilevel"/>
    <w:tmpl w:val="EE306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F0695E"/>
    <w:multiLevelType w:val="hybridMultilevel"/>
    <w:tmpl w:val="76E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4F17A">
      <w:numFmt w:val="bullet"/>
      <w:lvlText w:val="•"/>
      <w:lvlJc w:val="left"/>
      <w:pPr>
        <w:ind w:left="1800" w:hanging="720"/>
      </w:pPr>
      <w:rPr>
        <w:rFonts w:ascii="Arial Narrow" w:eastAsiaTheme="minorHAnsi" w:hAnsi="Arial Narrow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74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BD38DF"/>
    <w:multiLevelType w:val="hybridMultilevel"/>
    <w:tmpl w:val="67360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C672B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95CBF"/>
    <w:multiLevelType w:val="hybridMultilevel"/>
    <w:tmpl w:val="C7E29F34"/>
    <w:lvl w:ilvl="0" w:tplc="339AEEFE"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5"/>
  </w:num>
  <w:num w:numId="5">
    <w:abstractNumId w:val="33"/>
  </w:num>
  <w:num w:numId="6">
    <w:abstractNumId w:val="7"/>
  </w:num>
  <w:num w:numId="7">
    <w:abstractNumId w:val="26"/>
  </w:num>
  <w:num w:numId="8">
    <w:abstractNumId w:val="12"/>
  </w:num>
  <w:num w:numId="9">
    <w:abstractNumId w:val="17"/>
  </w:num>
  <w:num w:numId="10">
    <w:abstractNumId w:val="37"/>
  </w:num>
  <w:num w:numId="11">
    <w:abstractNumId w:val="4"/>
  </w:num>
  <w:num w:numId="12">
    <w:abstractNumId w:val="34"/>
  </w:num>
  <w:num w:numId="13">
    <w:abstractNumId w:val="10"/>
  </w:num>
  <w:num w:numId="14">
    <w:abstractNumId w:val="29"/>
  </w:num>
  <w:num w:numId="15">
    <w:abstractNumId w:val="11"/>
  </w:num>
  <w:num w:numId="16">
    <w:abstractNumId w:val="18"/>
  </w:num>
  <w:num w:numId="17">
    <w:abstractNumId w:val="14"/>
  </w:num>
  <w:num w:numId="18">
    <w:abstractNumId w:val="36"/>
  </w:num>
  <w:num w:numId="19">
    <w:abstractNumId w:val="35"/>
  </w:num>
  <w:num w:numId="20">
    <w:abstractNumId w:val="1"/>
  </w:num>
  <w:num w:numId="21">
    <w:abstractNumId w:val="20"/>
  </w:num>
  <w:num w:numId="22">
    <w:abstractNumId w:val="0"/>
  </w:num>
  <w:num w:numId="23">
    <w:abstractNumId w:val="32"/>
  </w:num>
  <w:num w:numId="24">
    <w:abstractNumId w:val="13"/>
  </w:num>
  <w:num w:numId="25">
    <w:abstractNumId w:val="22"/>
  </w:num>
  <w:num w:numId="26">
    <w:abstractNumId w:val="25"/>
  </w:num>
  <w:num w:numId="27">
    <w:abstractNumId w:val="30"/>
  </w:num>
  <w:num w:numId="28">
    <w:abstractNumId w:val="16"/>
  </w:num>
  <w:num w:numId="29">
    <w:abstractNumId w:val="9"/>
  </w:num>
  <w:num w:numId="30">
    <w:abstractNumId w:val="19"/>
  </w:num>
  <w:num w:numId="31">
    <w:abstractNumId w:val="2"/>
  </w:num>
  <w:num w:numId="32">
    <w:abstractNumId w:val="3"/>
  </w:num>
  <w:num w:numId="33">
    <w:abstractNumId w:val="24"/>
  </w:num>
  <w:num w:numId="34">
    <w:abstractNumId w:val="5"/>
  </w:num>
  <w:num w:numId="35">
    <w:abstractNumId w:val="8"/>
  </w:num>
  <w:num w:numId="36">
    <w:abstractNumId w:val="23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44"/>
    <w:rsid w:val="0003755D"/>
    <w:rsid w:val="00044EA1"/>
    <w:rsid w:val="00077E1E"/>
    <w:rsid w:val="000A6E92"/>
    <w:rsid w:val="000B6C40"/>
    <w:rsid w:val="000D3354"/>
    <w:rsid w:val="000F1B9D"/>
    <w:rsid w:val="000F5DA5"/>
    <w:rsid w:val="00114C9B"/>
    <w:rsid w:val="0013055C"/>
    <w:rsid w:val="00160EF2"/>
    <w:rsid w:val="00187C6B"/>
    <w:rsid w:val="001919E1"/>
    <w:rsid w:val="001B07EA"/>
    <w:rsid w:val="001D1398"/>
    <w:rsid w:val="001F7397"/>
    <w:rsid w:val="0021489D"/>
    <w:rsid w:val="0022138A"/>
    <w:rsid w:val="00233098"/>
    <w:rsid w:val="002768D7"/>
    <w:rsid w:val="00286410"/>
    <w:rsid w:val="002B2A3A"/>
    <w:rsid w:val="002C42E3"/>
    <w:rsid w:val="002D249E"/>
    <w:rsid w:val="002D598D"/>
    <w:rsid w:val="002E45B7"/>
    <w:rsid w:val="00306C0D"/>
    <w:rsid w:val="00347246"/>
    <w:rsid w:val="00380E44"/>
    <w:rsid w:val="003B1D11"/>
    <w:rsid w:val="003D1578"/>
    <w:rsid w:val="003E79B5"/>
    <w:rsid w:val="0042393C"/>
    <w:rsid w:val="00425147"/>
    <w:rsid w:val="004369DF"/>
    <w:rsid w:val="00460612"/>
    <w:rsid w:val="004B4890"/>
    <w:rsid w:val="004B515E"/>
    <w:rsid w:val="00505C13"/>
    <w:rsid w:val="00546702"/>
    <w:rsid w:val="0057668B"/>
    <w:rsid w:val="005C1FE1"/>
    <w:rsid w:val="005F23B4"/>
    <w:rsid w:val="005F2420"/>
    <w:rsid w:val="005F6FA4"/>
    <w:rsid w:val="0060404B"/>
    <w:rsid w:val="00617E55"/>
    <w:rsid w:val="00634A3C"/>
    <w:rsid w:val="00663FCD"/>
    <w:rsid w:val="00691DDB"/>
    <w:rsid w:val="006D0634"/>
    <w:rsid w:val="0070570D"/>
    <w:rsid w:val="00714357"/>
    <w:rsid w:val="00723464"/>
    <w:rsid w:val="00737DF4"/>
    <w:rsid w:val="00741F00"/>
    <w:rsid w:val="00750828"/>
    <w:rsid w:val="00777E26"/>
    <w:rsid w:val="00790629"/>
    <w:rsid w:val="007942C7"/>
    <w:rsid w:val="007A0E5A"/>
    <w:rsid w:val="007C6FFE"/>
    <w:rsid w:val="00802DEE"/>
    <w:rsid w:val="00815C82"/>
    <w:rsid w:val="008239FE"/>
    <w:rsid w:val="008363FC"/>
    <w:rsid w:val="00854B7B"/>
    <w:rsid w:val="00893607"/>
    <w:rsid w:val="008A36B9"/>
    <w:rsid w:val="008D2133"/>
    <w:rsid w:val="008D330B"/>
    <w:rsid w:val="008E28A9"/>
    <w:rsid w:val="008F6BB7"/>
    <w:rsid w:val="00921EE5"/>
    <w:rsid w:val="00974A3B"/>
    <w:rsid w:val="00984CEA"/>
    <w:rsid w:val="009F32E7"/>
    <w:rsid w:val="00A50833"/>
    <w:rsid w:val="00A641F2"/>
    <w:rsid w:val="00A903D3"/>
    <w:rsid w:val="00A91F2C"/>
    <w:rsid w:val="00AA0717"/>
    <w:rsid w:val="00AB4412"/>
    <w:rsid w:val="00AB4692"/>
    <w:rsid w:val="00AC4F7D"/>
    <w:rsid w:val="00AC6B27"/>
    <w:rsid w:val="00AD46B2"/>
    <w:rsid w:val="00AF4FB7"/>
    <w:rsid w:val="00AF5029"/>
    <w:rsid w:val="00B17625"/>
    <w:rsid w:val="00B42E5F"/>
    <w:rsid w:val="00B43465"/>
    <w:rsid w:val="00B44663"/>
    <w:rsid w:val="00B461D6"/>
    <w:rsid w:val="00B62221"/>
    <w:rsid w:val="00B700C6"/>
    <w:rsid w:val="00BC0504"/>
    <w:rsid w:val="00BC288E"/>
    <w:rsid w:val="00BD0261"/>
    <w:rsid w:val="00BE6C0D"/>
    <w:rsid w:val="00BF4280"/>
    <w:rsid w:val="00C11138"/>
    <w:rsid w:val="00C32985"/>
    <w:rsid w:val="00C41DE7"/>
    <w:rsid w:val="00C454DA"/>
    <w:rsid w:val="00C54FF8"/>
    <w:rsid w:val="00C93254"/>
    <w:rsid w:val="00CB59FA"/>
    <w:rsid w:val="00CD2D33"/>
    <w:rsid w:val="00D00479"/>
    <w:rsid w:val="00D01AB8"/>
    <w:rsid w:val="00DB7F05"/>
    <w:rsid w:val="00DF1DDC"/>
    <w:rsid w:val="00E06191"/>
    <w:rsid w:val="00E5539F"/>
    <w:rsid w:val="00E90171"/>
    <w:rsid w:val="00EB1277"/>
    <w:rsid w:val="00EB79A6"/>
    <w:rsid w:val="00EF4E3C"/>
    <w:rsid w:val="00F00CDC"/>
    <w:rsid w:val="00F0394F"/>
    <w:rsid w:val="00F31952"/>
    <w:rsid w:val="00F3292D"/>
    <w:rsid w:val="00FA09AA"/>
    <w:rsid w:val="00FA5316"/>
    <w:rsid w:val="00FA59F4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72A31"/>
  <w15:chartTrackingRefBased/>
  <w15:docId w15:val="{20AB1591-213B-474E-83BF-A48A2853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C7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44"/>
    <w:rPr>
      <w:rFonts w:ascii="Calibri" w:eastAsiaTheme="minorEastAsia" w:hAnsi="Calibri" w:cs="Calibri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44"/>
    <w:rPr>
      <w:rFonts w:ascii="Calibri" w:eastAsiaTheme="minorEastAsia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44"/>
    <w:rPr>
      <w:rFonts w:ascii="Segoe UI" w:eastAsiaTheme="minorEastAsia" w:hAnsi="Segoe UI" w:cs="Segoe UI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44"/>
    <w:rPr>
      <w:rFonts w:ascii="Calibri" w:eastAsiaTheme="minorEastAsia" w:hAnsi="Calibri" w:cs="Calibri"/>
      <w:kern w:val="28"/>
    </w:rPr>
  </w:style>
  <w:style w:type="paragraph" w:styleId="NormalWeb">
    <w:name w:val="Normal (Web)"/>
    <w:basedOn w:val="Normal"/>
    <w:uiPriority w:val="99"/>
    <w:unhideWhenUsed/>
    <w:rsid w:val="00723464"/>
    <w:pPr>
      <w:widowControl/>
      <w:overflowPunct/>
      <w:adjustRightInd/>
      <w:spacing w:after="15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9F4"/>
    <w:rPr>
      <w:rFonts w:ascii="Calibri" w:eastAsiaTheme="minorEastAsia" w:hAnsi="Calibri" w:cs="Calibri"/>
      <w:b/>
      <w:bCs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7397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397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7397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customStyle="1" w:styleId="ColumnIndent">
    <w:name w:val="Column Indent"/>
    <w:basedOn w:val="Normal"/>
    <w:rsid w:val="008F6BB7"/>
    <w:pPr>
      <w:widowControl/>
      <w:overflowPunct/>
      <w:adjustRightInd/>
      <w:spacing w:after="0" w:line="240" w:lineRule="auto"/>
      <w:ind w:left="432"/>
    </w:pPr>
    <w:rPr>
      <w:rFonts w:ascii="Arial" w:eastAsia="Times New Roman" w:hAnsi="Arial" w:cs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AB4412"/>
    <w:pPr>
      <w:widowControl/>
      <w:overflowPunct/>
      <w:adjustRightInd/>
      <w:spacing w:after="220" w:line="220" w:lineRule="atLeast"/>
      <w:ind w:left="835" w:right="-36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B441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B0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8388-82B3-4034-8D44-9C306289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Kelly (ESD)</dc:creator>
  <cp:keywords/>
  <dc:description/>
  <cp:lastModifiedBy>Augsburger, Addie (ESD)</cp:lastModifiedBy>
  <cp:revision>2</cp:revision>
  <cp:lastPrinted>2019-10-21T20:07:00Z</cp:lastPrinted>
  <dcterms:created xsi:type="dcterms:W3CDTF">2022-04-22T01:06:00Z</dcterms:created>
  <dcterms:modified xsi:type="dcterms:W3CDTF">2022-04-22T01:06:00Z</dcterms:modified>
</cp:coreProperties>
</file>