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5D" w:rsidRDefault="0019135D" w:rsidP="0019135D">
      <w:r>
        <w:t>June 27, 2017</w:t>
      </w:r>
    </w:p>
    <w:p w:rsidR="0019135D" w:rsidRDefault="0019135D" w:rsidP="0019135D"/>
    <w:p w:rsidR="0019135D" w:rsidRDefault="0019135D" w:rsidP="0019135D">
      <w:r>
        <w:t>Dear WDC Directors,</w:t>
      </w:r>
    </w:p>
    <w:p w:rsidR="0019135D" w:rsidRDefault="0019135D" w:rsidP="0019135D"/>
    <w:p w:rsidR="0019135D" w:rsidRDefault="0019135D" w:rsidP="0019135D">
      <w:pPr>
        <w:rPr>
          <w:color w:val="000000"/>
        </w:rPr>
      </w:pPr>
      <w:r>
        <w:rPr>
          <w:color w:val="000000"/>
        </w:rPr>
        <w:t xml:space="preserve">I am writing to inform that ESD is preparing to release $2.5 million in </w:t>
      </w:r>
      <w:proofErr w:type="spellStart"/>
      <w:r>
        <w:rPr>
          <w:color w:val="000000"/>
        </w:rPr>
        <w:t>PY17</w:t>
      </w:r>
      <w:proofErr w:type="spellEnd"/>
      <w:r>
        <w:rPr>
          <w:color w:val="000000"/>
        </w:rPr>
        <w:t xml:space="preserve"> Rapid Response funding, replicating last year’s Increased Employment Initiative (</w:t>
      </w:r>
      <w:proofErr w:type="spellStart"/>
      <w:r>
        <w:rPr>
          <w:color w:val="000000"/>
        </w:rPr>
        <w:t>RRIE</w:t>
      </w:r>
      <w:proofErr w:type="spellEnd"/>
      <w:r>
        <w:rPr>
          <w:color w:val="000000"/>
        </w:rPr>
        <w:t xml:space="preserve">).  The Increased Employment Initiative process </w:t>
      </w:r>
      <w:proofErr w:type="gramStart"/>
      <w:r>
        <w:rPr>
          <w:color w:val="000000"/>
        </w:rPr>
        <w:t>is founded</w:t>
      </w:r>
      <w:proofErr w:type="gramEnd"/>
      <w:r>
        <w:rPr>
          <w:color w:val="000000"/>
        </w:rPr>
        <w:t xml:space="preserve"> upon four goals: avoiding large end-of year-distributions per WDC request; providing flexible funding for WDC-initiated process improvement projects; increasing the number of dislocated workers who receive service and find jobs; and encouraging more layoff aversion activities per </w:t>
      </w:r>
      <w:proofErr w:type="spellStart"/>
      <w:r>
        <w:rPr>
          <w:color w:val="000000"/>
        </w:rPr>
        <w:t>USDOL’s</w:t>
      </w:r>
      <w:proofErr w:type="spellEnd"/>
      <w:r>
        <w:rPr>
          <w:color w:val="000000"/>
        </w:rPr>
        <w:t xml:space="preserve"> request.</w:t>
      </w:r>
    </w:p>
    <w:p w:rsidR="0019135D" w:rsidRDefault="0019135D" w:rsidP="0019135D">
      <w:pPr>
        <w:rPr>
          <w:color w:val="000000"/>
        </w:rPr>
      </w:pPr>
    </w:p>
    <w:p w:rsidR="0019135D" w:rsidRDefault="0019135D" w:rsidP="0019135D">
      <w:pPr>
        <w:rPr>
          <w:color w:val="000000"/>
        </w:rPr>
      </w:pPr>
      <w:r>
        <w:rPr>
          <w:color w:val="000000"/>
        </w:rPr>
        <w:t xml:space="preserve">Rapid Response Increased Employment has three parts: Increased Employment, Process Improvement, and Layoff Aversion.  To be eligible for Process Improvement and Layoff Aversion, WDCs must accept Increased Employment funding and agree to proportional increase enrollment and employment outcomes.  All three parts, for WDCs who request them, </w:t>
      </w:r>
      <w:proofErr w:type="gramStart"/>
      <w:r>
        <w:rPr>
          <w:color w:val="000000"/>
        </w:rPr>
        <w:t>will be combined</w:t>
      </w:r>
      <w:proofErr w:type="gramEnd"/>
      <w:r>
        <w:rPr>
          <w:color w:val="000000"/>
        </w:rPr>
        <w:t xml:space="preserve"> into a single contract.</w:t>
      </w:r>
    </w:p>
    <w:p w:rsidR="0019135D" w:rsidRDefault="0019135D" w:rsidP="0019135D">
      <w:pPr>
        <w:rPr>
          <w:color w:val="000000"/>
        </w:rPr>
      </w:pPr>
    </w:p>
    <w:p w:rsidR="0019135D" w:rsidRDefault="0019135D" w:rsidP="0019135D">
      <w:pPr>
        <w:rPr>
          <w:color w:val="000000"/>
          <w:u w:val="single"/>
        </w:rPr>
      </w:pPr>
      <w:r>
        <w:rPr>
          <w:color w:val="000000"/>
          <w:u w:val="single"/>
        </w:rPr>
        <w:t>Increased Employment ($</w:t>
      </w:r>
      <w:proofErr w:type="spellStart"/>
      <w:r>
        <w:rPr>
          <w:color w:val="000000"/>
          <w:u w:val="single"/>
        </w:rPr>
        <w:t>1.5M</w:t>
      </w:r>
      <w:proofErr w:type="spellEnd"/>
      <w:r>
        <w:rPr>
          <w:color w:val="000000"/>
          <w:u w:val="single"/>
        </w:rPr>
        <w:t xml:space="preserve"> of the $</w:t>
      </w:r>
      <w:proofErr w:type="spellStart"/>
      <w:r>
        <w:rPr>
          <w:color w:val="000000"/>
          <w:u w:val="single"/>
        </w:rPr>
        <w:t>2.5M</w:t>
      </w:r>
      <w:proofErr w:type="spellEnd"/>
      <w:r>
        <w:rPr>
          <w:color w:val="000000"/>
          <w:u w:val="single"/>
        </w:rPr>
        <w:t>):</w:t>
      </w:r>
    </w:p>
    <w:p w:rsidR="0019135D" w:rsidRDefault="0019135D" w:rsidP="0019135D">
      <w:pPr>
        <w:rPr>
          <w:color w:val="000000"/>
        </w:rPr>
      </w:pPr>
      <w:r>
        <w:rPr>
          <w:color w:val="000000"/>
        </w:rPr>
        <w:t>Upon request, WDCs will receive a formula-based share of $1.5 million for increasing Dislocated Worker enrollment and employment outcomes.  Increases must be proportional to PY16 formula funds, including increased employment (</w:t>
      </w:r>
      <w:proofErr w:type="spellStart"/>
      <w:r>
        <w:rPr>
          <w:color w:val="000000"/>
        </w:rPr>
        <w:t>RRIE</w:t>
      </w:r>
      <w:proofErr w:type="spellEnd"/>
      <w:r>
        <w:rPr>
          <w:color w:val="000000"/>
        </w:rPr>
        <w:t xml:space="preserve">) contract funding.  To receive these funds, </w:t>
      </w:r>
      <w:r>
        <w:rPr>
          <w:b/>
          <w:bCs/>
          <w:color w:val="000000"/>
        </w:rPr>
        <w:t>WDCs must notify ESD of their interest by June 30, 2017</w:t>
      </w:r>
      <w:r>
        <w:rPr>
          <w:color w:val="000000"/>
        </w:rPr>
        <w:t>.</w:t>
      </w:r>
    </w:p>
    <w:p w:rsidR="0019135D" w:rsidRDefault="0019135D" w:rsidP="0019135D">
      <w:pPr>
        <w:rPr>
          <w:color w:val="000000"/>
        </w:rPr>
      </w:pPr>
    </w:p>
    <w:p w:rsidR="0019135D" w:rsidRDefault="0019135D" w:rsidP="0019135D">
      <w:pPr>
        <w:rPr>
          <w:color w:val="000000"/>
          <w:u w:val="single"/>
        </w:rPr>
      </w:pPr>
      <w:r>
        <w:rPr>
          <w:color w:val="000000"/>
          <w:u w:val="single"/>
        </w:rPr>
        <w:t>Process Improvement &amp; Layoff Aversion ($</w:t>
      </w:r>
      <w:proofErr w:type="spellStart"/>
      <w:r>
        <w:rPr>
          <w:color w:val="000000"/>
          <w:u w:val="single"/>
        </w:rPr>
        <w:t>1M</w:t>
      </w:r>
      <w:proofErr w:type="spellEnd"/>
      <w:r>
        <w:rPr>
          <w:color w:val="000000"/>
          <w:u w:val="single"/>
        </w:rPr>
        <w:t xml:space="preserve"> of the $</w:t>
      </w:r>
      <w:proofErr w:type="spellStart"/>
      <w:r>
        <w:rPr>
          <w:color w:val="000000"/>
          <w:u w:val="single"/>
        </w:rPr>
        <w:t>2.5M</w:t>
      </w:r>
      <w:proofErr w:type="spellEnd"/>
      <w:r>
        <w:rPr>
          <w:color w:val="000000"/>
          <w:u w:val="single"/>
        </w:rPr>
        <w:t>):</w:t>
      </w:r>
    </w:p>
    <w:p w:rsidR="0019135D" w:rsidRDefault="0019135D" w:rsidP="0019135D">
      <w:pPr>
        <w:rPr>
          <w:color w:val="000000"/>
        </w:rPr>
      </w:pPr>
      <w:r>
        <w:rPr>
          <w:color w:val="000000"/>
        </w:rPr>
        <w:t xml:space="preserve">WDCs may also apply for a formula share of $1 million for process improvement and layoff aversion activities.  To receive these funds, WDCs should </w:t>
      </w:r>
      <w:r>
        <w:rPr>
          <w:b/>
          <w:bCs/>
          <w:color w:val="000000"/>
        </w:rPr>
        <w:t>notify ESD of their interest by June 30, 2017</w:t>
      </w:r>
      <w:r>
        <w:rPr>
          <w:color w:val="000000"/>
        </w:rPr>
        <w:t>, and submit a short application (attached) describing how they will use funds to improve the local 1-Stop system and deploy layoff aversion / business engagement strategies.  Applications are due July 24, 2017.</w:t>
      </w:r>
    </w:p>
    <w:p w:rsidR="0019135D" w:rsidRDefault="0019135D" w:rsidP="0019135D">
      <w:pPr>
        <w:rPr>
          <w:color w:val="000000"/>
        </w:rPr>
      </w:pPr>
    </w:p>
    <w:p w:rsidR="0019135D" w:rsidRDefault="0019135D" w:rsidP="0019135D">
      <w:pPr>
        <w:rPr>
          <w:u w:val="single"/>
        </w:rPr>
      </w:pPr>
      <w:r>
        <w:rPr>
          <w:u w:val="single"/>
        </w:rPr>
        <w:t>Potential for future funding:</w:t>
      </w:r>
    </w:p>
    <w:p w:rsidR="0019135D" w:rsidRDefault="0019135D" w:rsidP="0019135D">
      <w:r>
        <w:t xml:space="preserve">Each quarter, ESD will assess the availability of additional Rapid Response funding.  Additional funds </w:t>
      </w:r>
      <w:proofErr w:type="gramStart"/>
      <w:r>
        <w:t>will be distributed</w:t>
      </w:r>
      <w:proofErr w:type="gramEnd"/>
      <w:r>
        <w:t xml:space="preserve"> to WDC teams who are meeting or exceeding their outcome targets for this contract.</w:t>
      </w:r>
    </w:p>
    <w:p w:rsidR="0019135D" w:rsidRDefault="0019135D" w:rsidP="0019135D"/>
    <w:p w:rsidR="0019135D" w:rsidRDefault="0019135D" w:rsidP="0019135D">
      <w:r>
        <w:t>Instructions:</w:t>
      </w:r>
    </w:p>
    <w:p w:rsidR="0019135D" w:rsidRDefault="0019135D" w:rsidP="002213E0">
      <w:pPr>
        <w:pStyle w:val="ListParagraph"/>
        <w:numPr>
          <w:ilvl w:val="0"/>
          <w:numId w:val="1"/>
        </w:numPr>
      </w:pPr>
      <w:r>
        <w:t>To receive a formula-based share of Increased Employment funding by contract (see formula allocations below)</w:t>
      </w:r>
      <w:proofErr w:type="gramStart"/>
      <w:r>
        <w:t>,</w:t>
      </w:r>
      <w:proofErr w:type="gramEnd"/>
      <w:r>
        <w:t xml:space="preserve"> </w:t>
      </w:r>
      <w:r>
        <w:rPr>
          <w:b/>
          <w:bCs/>
        </w:rPr>
        <w:t>notify Steve Perry (</w:t>
      </w:r>
      <w:hyperlink r:id="rId5" w:history="1">
        <w:r w:rsidRPr="00D24E31">
          <w:rPr>
            <w:rStyle w:val="Hyperlink"/>
            <w:b/>
            <w:bCs/>
          </w:rPr>
          <w:t>ESDGPWorkforceInitiatives@esd.wa.gov</w:t>
        </w:r>
      </w:hyperlink>
      <w:r>
        <w:rPr>
          <w:b/>
          <w:bCs/>
        </w:rPr>
        <w:t>) by June 30, 2017</w:t>
      </w:r>
      <w:r>
        <w:t xml:space="preserve">.  </w:t>
      </w:r>
      <w:r w:rsidR="00D54605">
        <w:t>B</w:t>
      </w:r>
      <w:r>
        <w:t>udget and participant planning forms</w:t>
      </w:r>
      <w:r w:rsidR="00D54605">
        <w:t xml:space="preserve"> (Exhibit A) </w:t>
      </w:r>
      <w:proofErr w:type="gramStart"/>
      <w:r>
        <w:t xml:space="preserve">will be </w:t>
      </w:r>
      <w:r w:rsidR="00D54605">
        <w:t>sent</w:t>
      </w:r>
      <w:proofErr w:type="gramEnd"/>
      <w:r w:rsidR="00D54605">
        <w:t xml:space="preserve"> to you </w:t>
      </w:r>
      <w:r>
        <w:t xml:space="preserve">following notification of your interest.  </w:t>
      </w:r>
      <w:r w:rsidR="002213E0">
        <w:t xml:space="preserve">They </w:t>
      </w:r>
      <w:proofErr w:type="gramStart"/>
      <w:r w:rsidR="002213E0">
        <w:t>will also be added</w:t>
      </w:r>
      <w:proofErr w:type="gramEnd"/>
      <w:r w:rsidR="002213E0">
        <w:t xml:space="preserve"> to the Workforce Professionals Center site: </w:t>
      </w:r>
      <w:hyperlink r:id="rId6" w:history="1">
        <w:r w:rsidR="002213E0" w:rsidRPr="00D24E31">
          <w:rPr>
            <w:rStyle w:val="Hyperlink"/>
          </w:rPr>
          <w:t>http://wpc.wa.gov/adm/grants/WIOA-contracts</w:t>
        </w:r>
      </w:hyperlink>
      <w:r w:rsidR="002213E0">
        <w:t xml:space="preserve">.  </w:t>
      </w:r>
      <w:r>
        <w:rPr>
          <w:b/>
          <w:bCs/>
        </w:rPr>
        <w:t>Due date for planning forms is July 24, 2017</w:t>
      </w:r>
      <w:r>
        <w:t xml:space="preserve">.  ESD will provide </w:t>
      </w:r>
      <w:proofErr w:type="spellStart"/>
      <w:r>
        <w:t>PY17</w:t>
      </w:r>
      <w:proofErr w:type="spellEnd"/>
      <w:r>
        <w:t xml:space="preserve"> targets upon notification of interest.</w:t>
      </w:r>
    </w:p>
    <w:p w:rsidR="0019135D" w:rsidRDefault="0019135D" w:rsidP="0019135D">
      <w:pPr>
        <w:pStyle w:val="ListParagraph"/>
        <w:numPr>
          <w:ilvl w:val="0"/>
          <w:numId w:val="2"/>
        </w:numPr>
      </w:pPr>
      <w:r>
        <w:t>To receive a formula-based share of process improvement and/or layoff aversio</w:t>
      </w:r>
      <w:bookmarkStart w:id="0" w:name="_GoBack"/>
      <w:bookmarkEnd w:id="0"/>
      <w:r>
        <w:t xml:space="preserve">n by contract, </w:t>
      </w:r>
      <w:r>
        <w:rPr>
          <w:b/>
          <w:bCs/>
        </w:rPr>
        <w:t>notify Steve Perry (</w:t>
      </w:r>
      <w:hyperlink r:id="rId7" w:history="1">
        <w:r w:rsidRPr="00D24E31">
          <w:rPr>
            <w:rStyle w:val="Hyperlink"/>
            <w:b/>
            <w:bCs/>
          </w:rPr>
          <w:t>ESDGPWorkforceInitiatives@esd.wa.gov</w:t>
        </w:r>
      </w:hyperlink>
      <w:r>
        <w:rPr>
          <w:b/>
          <w:bCs/>
        </w:rPr>
        <w:t>) by June 30, 2017, and submit a single application (attached) by July 24, 2017</w:t>
      </w:r>
      <w:r>
        <w:t xml:space="preserve">. </w:t>
      </w:r>
    </w:p>
    <w:p w:rsidR="0019135D" w:rsidRDefault="0019135D" w:rsidP="0019135D">
      <w:pPr>
        <w:pStyle w:val="ListParagraph"/>
        <w:numPr>
          <w:ilvl w:val="0"/>
          <w:numId w:val="2"/>
        </w:numPr>
      </w:pPr>
      <w:r>
        <w:t>The period of performance for these contracts is July 1, 2017 to June 2018.</w:t>
      </w:r>
    </w:p>
    <w:p w:rsidR="0019135D" w:rsidRDefault="0019135D" w:rsidP="0019135D">
      <w:pPr>
        <w:pStyle w:val="ListParagraph"/>
        <w:numPr>
          <w:ilvl w:val="0"/>
          <w:numId w:val="2"/>
        </w:numPr>
      </w:pPr>
      <w:r>
        <w:t>Due dates may be extended by request.</w:t>
      </w:r>
    </w:p>
    <w:p w:rsidR="0019135D" w:rsidRDefault="0019135D" w:rsidP="0019135D"/>
    <w:p w:rsidR="0019135D" w:rsidRDefault="0019135D" w:rsidP="0019135D"/>
    <w:p w:rsidR="0019135D" w:rsidRDefault="0019135D" w:rsidP="0019135D">
      <w:r>
        <w:lastRenderedPageBreak/>
        <w:t>Draft Formula Allocations by WDA (based on TEGL 27-16).  Actual amounts may vary depending on WDC review of formula allocation.</w:t>
      </w:r>
    </w:p>
    <w:p w:rsidR="0019135D" w:rsidRDefault="0019135D" w:rsidP="0019135D"/>
    <w:tbl>
      <w:tblPr>
        <w:tblW w:w="0" w:type="auto"/>
        <w:tblCellMar>
          <w:left w:w="0" w:type="dxa"/>
          <w:right w:w="0" w:type="dxa"/>
        </w:tblCellMar>
        <w:tblLook w:val="04A0" w:firstRow="1" w:lastRow="0" w:firstColumn="1" w:lastColumn="0" w:noHBand="0" w:noVBand="1"/>
      </w:tblPr>
      <w:tblGrid>
        <w:gridCol w:w="1980"/>
        <w:gridCol w:w="1170"/>
        <w:gridCol w:w="216"/>
        <w:gridCol w:w="1140"/>
        <w:gridCol w:w="360"/>
        <w:gridCol w:w="1260"/>
      </w:tblGrid>
      <w:tr w:rsidR="0019135D" w:rsidTr="0019135D">
        <w:trPr>
          <w:gridAfter w:val="2"/>
          <w:wAfter w:w="1620" w:type="dxa"/>
          <w:trHeight w:val="602"/>
        </w:trPr>
        <w:tc>
          <w:tcPr>
            <w:tcW w:w="197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WDA</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9135D" w:rsidRDefault="0019135D">
            <w:r>
              <w:t>DW %</w:t>
            </w:r>
          </w:p>
        </w:tc>
        <w:tc>
          <w:tcPr>
            <w:tcW w:w="135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2,500,000 </w:t>
            </w:r>
          </w:p>
        </w:tc>
      </w:tr>
      <w:tr w:rsidR="0019135D" w:rsidTr="0019135D">
        <w:trPr>
          <w:gridAfter w:val="2"/>
          <w:wAfter w:w="1620" w:type="dxa"/>
          <w:trHeight w:val="31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1 - Olympic</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5.15%</w:t>
            </w:r>
          </w:p>
        </w:tc>
        <w:tc>
          <w:tcPr>
            <w:tcW w:w="135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128,719 </w:t>
            </w:r>
          </w:p>
        </w:tc>
      </w:tr>
      <w:tr w:rsidR="0019135D" w:rsidTr="0019135D">
        <w:trPr>
          <w:gridAfter w:val="2"/>
          <w:wAfter w:w="1620" w:type="dxa"/>
          <w:trHeight w:val="31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2 - Pac Mountain</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9.28%</w:t>
            </w:r>
          </w:p>
        </w:tc>
        <w:tc>
          <w:tcPr>
            <w:tcW w:w="135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231,883 </w:t>
            </w:r>
          </w:p>
        </w:tc>
      </w:tr>
      <w:tr w:rsidR="0019135D" w:rsidTr="0019135D">
        <w:trPr>
          <w:gridAfter w:val="2"/>
          <w:wAfter w:w="1620" w:type="dxa"/>
          <w:trHeight w:val="31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3 - Northwest</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6.90%</w:t>
            </w:r>
          </w:p>
        </w:tc>
        <w:tc>
          <w:tcPr>
            <w:tcW w:w="135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172,438 </w:t>
            </w:r>
          </w:p>
        </w:tc>
      </w:tr>
      <w:tr w:rsidR="0019135D" w:rsidTr="0019135D">
        <w:trPr>
          <w:gridAfter w:val="2"/>
          <w:wAfter w:w="1620" w:type="dxa"/>
          <w:trHeight w:val="31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4 - Snohomish</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7.23%</w:t>
            </w:r>
          </w:p>
        </w:tc>
        <w:tc>
          <w:tcPr>
            <w:tcW w:w="135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180,846 </w:t>
            </w:r>
          </w:p>
        </w:tc>
      </w:tr>
      <w:tr w:rsidR="0019135D" w:rsidTr="0019135D">
        <w:trPr>
          <w:gridAfter w:val="2"/>
          <w:wAfter w:w="1620" w:type="dxa"/>
          <w:trHeight w:val="31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5 - Seattle-King</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15.54%</w:t>
            </w:r>
          </w:p>
        </w:tc>
        <w:tc>
          <w:tcPr>
            <w:tcW w:w="135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388,425 </w:t>
            </w:r>
          </w:p>
        </w:tc>
      </w:tr>
      <w:tr w:rsidR="0019135D" w:rsidTr="0019135D">
        <w:trPr>
          <w:gridAfter w:val="2"/>
          <w:wAfter w:w="1620" w:type="dxa"/>
          <w:trHeight w:val="31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6 - Tacoma-Pierce</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14.26%</w:t>
            </w:r>
          </w:p>
        </w:tc>
        <w:tc>
          <w:tcPr>
            <w:tcW w:w="135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356,447 </w:t>
            </w:r>
          </w:p>
        </w:tc>
      </w:tr>
      <w:tr w:rsidR="0019135D" w:rsidTr="0019135D">
        <w:trPr>
          <w:gridAfter w:val="2"/>
          <w:wAfter w:w="1620" w:type="dxa"/>
          <w:trHeight w:val="31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7 - Southwest</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9.24%</w:t>
            </w:r>
          </w:p>
        </w:tc>
        <w:tc>
          <w:tcPr>
            <w:tcW w:w="135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231,076 </w:t>
            </w:r>
          </w:p>
        </w:tc>
      </w:tr>
      <w:tr w:rsidR="0019135D" w:rsidTr="0019135D">
        <w:trPr>
          <w:gridAfter w:val="2"/>
          <w:wAfter w:w="1620" w:type="dxa"/>
          <w:trHeight w:val="31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8 - North Central</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6.12%</w:t>
            </w:r>
          </w:p>
        </w:tc>
        <w:tc>
          <w:tcPr>
            <w:tcW w:w="135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152,904 </w:t>
            </w:r>
          </w:p>
        </w:tc>
      </w:tr>
      <w:tr w:rsidR="0019135D" w:rsidTr="0019135D">
        <w:trPr>
          <w:gridAfter w:val="2"/>
          <w:wAfter w:w="1620" w:type="dxa"/>
          <w:trHeight w:val="31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9 - South Central</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8.98%</w:t>
            </w:r>
          </w:p>
        </w:tc>
        <w:tc>
          <w:tcPr>
            <w:tcW w:w="135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224,600 </w:t>
            </w:r>
          </w:p>
        </w:tc>
      </w:tr>
      <w:tr w:rsidR="0019135D" w:rsidTr="0019135D">
        <w:trPr>
          <w:gridAfter w:val="2"/>
          <w:wAfter w:w="1620" w:type="dxa"/>
          <w:trHeight w:val="31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10 - Eastern</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3.14%</w:t>
            </w:r>
          </w:p>
        </w:tc>
        <w:tc>
          <w:tcPr>
            <w:tcW w:w="135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78,554 </w:t>
            </w:r>
          </w:p>
        </w:tc>
      </w:tr>
      <w:tr w:rsidR="0019135D" w:rsidTr="0019135D">
        <w:trPr>
          <w:gridAfter w:val="2"/>
          <w:wAfter w:w="1620" w:type="dxa"/>
          <w:trHeight w:val="31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11 - Benton-Franklin</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5.78%</w:t>
            </w:r>
          </w:p>
        </w:tc>
        <w:tc>
          <w:tcPr>
            <w:tcW w:w="135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144,433 </w:t>
            </w:r>
          </w:p>
        </w:tc>
      </w:tr>
      <w:tr w:rsidR="0019135D" w:rsidTr="0019135D">
        <w:trPr>
          <w:gridAfter w:val="2"/>
          <w:wAfter w:w="1620" w:type="dxa"/>
          <w:trHeight w:val="315"/>
        </w:trPr>
        <w:tc>
          <w:tcPr>
            <w:tcW w:w="1975"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rsidR="0019135D" w:rsidRDefault="0019135D">
            <w:r>
              <w:t>12 - Spokane</w:t>
            </w:r>
          </w:p>
        </w:tc>
        <w:tc>
          <w:tcPr>
            <w:tcW w:w="1170" w:type="dxa"/>
            <w:tcBorders>
              <w:top w:val="nil"/>
              <w:left w:val="nil"/>
              <w:bottom w:val="single" w:sz="4" w:space="0" w:color="auto"/>
              <w:right w:val="single" w:sz="8" w:space="0" w:color="auto"/>
            </w:tcBorders>
            <w:noWrap/>
            <w:tcMar>
              <w:top w:w="0" w:type="dxa"/>
              <w:left w:w="108" w:type="dxa"/>
              <w:bottom w:w="0" w:type="dxa"/>
              <w:right w:w="108" w:type="dxa"/>
            </w:tcMar>
            <w:hideMark/>
          </w:tcPr>
          <w:p w:rsidR="0019135D" w:rsidRDefault="0019135D">
            <w:r>
              <w:t>8.39%</w:t>
            </w:r>
          </w:p>
        </w:tc>
        <w:tc>
          <w:tcPr>
            <w:tcW w:w="1350"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19135D" w:rsidRDefault="0019135D">
            <w:r>
              <w:t xml:space="preserve">209,675 </w:t>
            </w:r>
          </w:p>
        </w:tc>
      </w:tr>
      <w:tr w:rsidR="0019135D" w:rsidTr="0019135D">
        <w:trPr>
          <w:gridAfter w:val="2"/>
          <w:wAfter w:w="1620" w:type="dxa"/>
          <w:trHeight w:val="315"/>
        </w:trPr>
        <w:tc>
          <w:tcPr>
            <w:tcW w:w="1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9135D" w:rsidRDefault="0019135D">
            <w:r>
              <w:t>TOTALS</w:t>
            </w: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9135D" w:rsidRDefault="0019135D">
            <w:r>
              <w:t>100.00%</w:t>
            </w:r>
          </w:p>
        </w:tc>
        <w:tc>
          <w:tcPr>
            <w:tcW w:w="135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9135D" w:rsidRDefault="0019135D">
            <w:r>
              <w:t xml:space="preserve">2,500,000 </w:t>
            </w:r>
          </w:p>
        </w:tc>
      </w:tr>
      <w:tr w:rsidR="0019135D" w:rsidTr="0019135D">
        <w:trPr>
          <w:gridAfter w:val="2"/>
          <w:wAfter w:w="1620" w:type="dxa"/>
          <w:trHeight w:val="315"/>
        </w:trPr>
        <w:tc>
          <w:tcPr>
            <w:tcW w:w="1975" w:type="dxa"/>
            <w:tcBorders>
              <w:top w:val="single" w:sz="4" w:space="0" w:color="auto"/>
            </w:tcBorders>
            <w:noWrap/>
            <w:tcMar>
              <w:top w:w="0" w:type="dxa"/>
              <w:left w:w="108" w:type="dxa"/>
              <w:bottom w:w="0" w:type="dxa"/>
              <w:right w:w="108" w:type="dxa"/>
            </w:tcMar>
          </w:tcPr>
          <w:p w:rsidR="0019135D" w:rsidRDefault="0019135D"/>
        </w:tc>
        <w:tc>
          <w:tcPr>
            <w:tcW w:w="1170" w:type="dxa"/>
            <w:tcBorders>
              <w:top w:val="single" w:sz="4" w:space="0" w:color="auto"/>
            </w:tcBorders>
            <w:noWrap/>
            <w:tcMar>
              <w:top w:w="0" w:type="dxa"/>
              <w:left w:w="108" w:type="dxa"/>
              <w:bottom w:w="0" w:type="dxa"/>
              <w:right w:w="108" w:type="dxa"/>
            </w:tcMar>
          </w:tcPr>
          <w:p w:rsidR="0019135D" w:rsidRDefault="0019135D"/>
        </w:tc>
        <w:tc>
          <w:tcPr>
            <w:tcW w:w="1350" w:type="dxa"/>
            <w:gridSpan w:val="2"/>
            <w:tcBorders>
              <w:top w:val="single" w:sz="4" w:space="0" w:color="auto"/>
            </w:tcBorders>
            <w:noWrap/>
            <w:tcMar>
              <w:top w:w="0" w:type="dxa"/>
              <w:left w:w="108" w:type="dxa"/>
              <w:bottom w:w="0" w:type="dxa"/>
              <w:right w:w="108" w:type="dxa"/>
            </w:tcMar>
          </w:tcPr>
          <w:p w:rsidR="0019135D" w:rsidRDefault="0019135D"/>
        </w:tc>
      </w:tr>
      <w:tr w:rsidR="0019135D" w:rsidTr="0019135D">
        <w:trPr>
          <w:trHeight w:val="617"/>
        </w:trPr>
        <w:tc>
          <w:tcPr>
            <w:tcW w:w="1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9135D" w:rsidRDefault="0019135D">
            <w:r>
              <w:t>WDA</w:t>
            </w:r>
          </w:p>
        </w:tc>
        <w:tc>
          <w:tcPr>
            <w:tcW w:w="1386"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9135D" w:rsidRDefault="0019135D">
            <w:r>
              <w:t>Increased Employment</w:t>
            </w:r>
          </w:p>
        </w:tc>
        <w:tc>
          <w:tcPr>
            <w:tcW w:w="1491"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19135D" w:rsidRDefault="0019135D">
            <w:r>
              <w:t>Process Improvement</w:t>
            </w:r>
          </w:p>
        </w:tc>
        <w:tc>
          <w:tcPr>
            <w:tcW w:w="1255"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Layoff Aversion</w:t>
            </w:r>
          </w:p>
        </w:tc>
      </w:tr>
      <w:tr w:rsidR="0019135D" w:rsidTr="0019135D">
        <w:trPr>
          <w:trHeight w:val="315"/>
        </w:trPr>
        <w:tc>
          <w:tcPr>
            <w:tcW w:w="1975"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1 – Olympic</w:t>
            </w:r>
          </w:p>
        </w:tc>
        <w:tc>
          <w:tcPr>
            <w:tcW w:w="1386" w:type="dxa"/>
            <w:gridSpan w:val="2"/>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77,231 </w:t>
            </w:r>
          </w:p>
        </w:tc>
        <w:tc>
          <w:tcPr>
            <w:tcW w:w="1491" w:type="dxa"/>
            <w:gridSpan w:val="2"/>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25,744 </w:t>
            </w:r>
          </w:p>
        </w:tc>
        <w:tc>
          <w:tcPr>
            <w:tcW w:w="1255" w:type="dxa"/>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25,744 </w:t>
            </w:r>
          </w:p>
        </w:tc>
      </w:tr>
      <w:tr w:rsidR="0019135D" w:rsidTr="0019135D">
        <w:trPr>
          <w:trHeight w:val="31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2 - Pac Mountain</w:t>
            </w:r>
          </w:p>
        </w:tc>
        <w:tc>
          <w:tcPr>
            <w:tcW w:w="138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139,130 </w:t>
            </w:r>
          </w:p>
        </w:tc>
        <w:tc>
          <w:tcPr>
            <w:tcW w:w="149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46,376 </w:t>
            </w:r>
          </w:p>
        </w:tc>
        <w:tc>
          <w:tcPr>
            <w:tcW w:w="1255" w:type="dxa"/>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46,377 </w:t>
            </w:r>
          </w:p>
        </w:tc>
      </w:tr>
      <w:tr w:rsidR="0019135D" w:rsidTr="0019135D">
        <w:trPr>
          <w:trHeight w:val="31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3 - Northwest</w:t>
            </w:r>
          </w:p>
        </w:tc>
        <w:tc>
          <w:tcPr>
            <w:tcW w:w="138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103,463 </w:t>
            </w:r>
          </w:p>
        </w:tc>
        <w:tc>
          <w:tcPr>
            <w:tcW w:w="149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34,487 </w:t>
            </w:r>
          </w:p>
        </w:tc>
        <w:tc>
          <w:tcPr>
            <w:tcW w:w="1255" w:type="dxa"/>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34,488 </w:t>
            </w:r>
          </w:p>
        </w:tc>
      </w:tr>
      <w:tr w:rsidR="0019135D" w:rsidTr="0019135D">
        <w:trPr>
          <w:trHeight w:val="31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4 - Snohomish</w:t>
            </w:r>
          </w:p>
        </w:tc>
        <w:tc>
          <w:tcPr>
            <w:tcW w:w="138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108,508 </w:t>
            </w:r>
          </w:p>
        </w:tc>
        <w:tc>
          <w:tcPr>
            <w:tcW w:w="149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36,169 </w:t>
            </w:r>
          </w:p>
        </w:tc>
        <w:tc>
          <w:tcPr>
            <w:tcW w:w="1255" w:type="dxa"/>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36,169 </w:t>
            </w:r>
          </w:p>
        </w:tc>
      </w:tr>
      <w:tr w:rsidR="0019135D" w:rsidTr="0019135D">
        <w:trPr>
          <w:trHeight w:val="31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5 - Seattle-King</w:t>
            </w:r>
          </w:p>
        </w:tc>
        <w:tc>
          <w:tcPr>
            <w:tcW w:w="138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233,055 </w:t>
            </w:r>
          </w:p>
        </w:tc>
        <w:tc>
          <w:tcPr>
            <w:tcW w:w="149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77,685 </w:t>
            </w:r>
          </w:p>
        </w:tc>
        <w:tc>
          <w:tcPr>
            <w:tcW w:w="1255" w:type="dxa"/>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77,685 </w:t>
            </w:r>
          </w:p>
        </w:tc>
      </w:tr>
      <w:tr w:rsidR="0019135D" w:rsidTr="0019135D">
        <w:trPr>
          <w:trHeight w:val="31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6 - Tacoma-Pierce</w:t>
            </w:r>
          </w:p>
        </w:tc>
        <w:tc>
          <w:tcPr>
            <w:tcW w:w="138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213,869 </w:t>
            </w:r>
          </w:p>
        </w:tc>
        <w:tc>
          <w:tcPr>
            <w:tcW w:w="149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71,289 </w:t>
            </w:r>
          </w:p>
        </w:tc>
        <w:tc>
          <w:tcPr>
            <w:tcW w:w="1255" w:type="dxa"/>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71,289 </w:t>
            </w:r>
          </w:p>
        </w:tc>
      </w:tr>
      <w:tr w:rsidR="0019135D" w:rsidTr="0019135D">
        <w:trPr>
          <w:trHeight w:val="31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7 - Southwest</w:t>
            </w:r>
          </w:p>
        </w:tc>
        <w:tc>
          <w:tcPr>
            <w:tcW w:w="138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138,645 </w:t>
            </w:r>
          </w:p>
        </w:tc>
        <w:tc>
          <w:tcPr>
            <w:tcW w:w="149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46,216 </w:t>
            </w:r>
          </w:p>
        </w:tc>
        <w:tc>
          <w:tcPr>
            <w:tcW w:w="1255" w:type="dxa"/>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46,215 </w:t>
            </w:r>
          </w:p>
        </w:tc>
      </w:tr>
      <w:tr w:rsidR="0019135D" w:rsidTr="0019135D">
        <w:trPr>
          <w:trHeight w:val="31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8 - North Central</w:t>
            </w:r>
          </w:p>
        </w:tc>
        <w:tc>
          <w:tcPr>
            <w:tcW w:w="138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91,742 </w:t>
            </w:r>
          </w:p>
        </w:tc>
        <w:tc>
          <w:tcPr>
            <w:tcW w:w="149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30,581 </w:t>
            </w:r>
          </w:p>
        </w:tc>
        <w:tc>
          <w:tcPr>
            <w:tcW w:w="1255" w:type="dxa"/>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30,581 </w:t>
            </w:r>
          </w:p>
        </w:tc>
      </w:tr>
      <w:tr w:rsidR="0019135D" w:rsidTr="0019135D">
        <w:trPr>
          <w:trHeight w:val="31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9 - South Central</w:t>
            </w:r>
          </w:p>
        </w:tc>
        <w:tc>
          <w:tcPr>
            <w:tcW w:w="138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134,760 </w:t>
            </w:r>
          </w:p>
        </w:tc>
        <w:tc>
          <w:tcPr>
            <w:tcW w:w="149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44,920 </w:t>
            </w:r>
          </w:p>
        </w:tc>
        <w:tc>
          <w:tcPr>
            <w:tcW w:w="1255" w:type="dxa"/>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44,920 </w:t>
            </w:r>
          </w:p>
        </w:tc>
      </w:tr>
      <w:tr w:rsidR="0019135D" w:rsidTr="0019135D">
        <w:trPr>
          <w:trHeight w:val="31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10 - Eastern</w:t>
            </w:r>
          </w:p>
        </w:tc>
        <w:tc>
          <w:tcPr>
            <w:tcW w:w="138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47,132 </w:t>
            </w:r>
          </w:p>
        </w:tc>
        <w:tc>
          <w:tcPr>
            <w:tcW w:w="149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15,711 </w:t>
            </w:r>
          </w:p>
        </w:tc>
        <w:tc>
          <w:tcPr>
            <w:tcW w:w="1255" w:type="dxa"/>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15,711 </w:t>
            </w:r>
          </w:p>
        </w:tc>
      </w:tr>
      <w:tr w:rsidR="0019135D" w:rsidTr="0019135D">
        <w:trPr>
          <w:trHeight w:val="31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11 - Benton-Franklin</w:t>
            </w:r>
          </w:p>
        </w:tc>
        <w:tc>
          <w:tcPr>
            <w:tcW w:w="138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86,660 </w:t>
            </w:r>
          </w:p>
        </w:tc>
        <w:tc>
          <w:tcPr>
            <w:tcW w:w="149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28,887 </w:t>
            </w:r>
          </w:p>
        </w:tc>
        <w:tc>
          <w:tcPr>
            <w:tcW w:w="1255" w:type="dxa"/>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28,886 </w:t>
            </w:r>
          </w:p>
        </w:tc>
      </w:tr>
      <w:tr w:rsidR="0019135D" w:rsidTr="0019135D">
        <w:trPr>
          <w:trHeight w:val="31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12 - Spokane</w:t>
            </w:r>
          </w:p>
        </w:tc>
        <w:tc>
          <w:tcPr>
            <w:tcW w:w="138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125,805 </w:t>
            </w:r>
          </w:p>
        </w:tc>
        <w:tc>
          <w:tcPr>
            <w:tcW w:w="149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41,935 </w:t>
            </w:r>
          </w:p>
        </w:tc>
        <w:tc>
          <w:tcPr>
            <w:tcW w:w="1255" w:type="dxa"/>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41,935 </w:t>
            </w:r>
          </w:p>
        </w:tc>
      </w:tr>
      <w:tr w:rsidR="0019135D" w:rsidTr="0019135D">
        <w:trPr>
          <w:trHeight w:val="315"/>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9135D" w:rsidRDefault="0019135D">
            <w:r>
              <w:t> Total</w:t>
            </w:r>
          </w:p>
        </w:tc>
        <w:tc>
          <w:tcPr>
            <w:tcW w:w="1386"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1,500,000 </w:t>
            </w:r>
          </w:p>
        </w:tc>
        <w:tc>
          <w:tcPr>
            <w:tcW w:w="149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500,000 </w:t>
            </w:r>
          </w:p>
        </w:tc>
        <w:tc>
          <w:tcPr>
            <w:tcW w:w="1255" w:type="dxa"/>
            <w:tcBorders>
              <w:top w:val="nil"/>
              <w:left w:val="nil"/>
              <w:bottom w:val="single" w:sz="8" w:space="0" w:color="auto"/>
              <w:right w:val="single" w:sz="8" w:space="0" w:color="auto"/>
            </w:tcBorders>
            <w:noWrap/>
            <w:tcMar>
              <w:top w:w="0" w:type="dxa"/>
              <w:left w:w="108" w:type="dxa"/>
              <w:bottom w:w="0" w:type="dxa"/>
              <w:right w:w="108" w:type="dxa"/>
            </w:tcMar>
            <w:hideMark/>
          </w:tcPr>
          <w:p w:rsidR="0019135D" w:rsidRDefault="0019135D">
            <w:r>
              <w:t xml:space="preserve">500,000 </w:t>
            </w:r>
          </w:p>
        </w:tc>
      </w:tr>
      <w:tr w:rsidR="0019135D" w:rsidTr="0019135D">
        <w:tc>
          <w:tcPr>
            <w:tcW w:w="1980" w:type="dxa"/>
            <w:vAlign w:val="center"/>
            <w:hideMark/>
          </w:tcPr>
          <w:p w:rsidR="0019135D" w:rsidRDefault="0019135D"/>
        </w:tc>
        <w:tc>
          <w:tcPr>
            <w:tcW w:w="1170" w:type="dxa"/>
            <w:vAlign w:val="center"/>
            <w:hideMark/>
          </w:tcPr>
          <w:p w:rsidR="0019135D" w:rsidRDefault="0019135D">
            <w:pPr>
              <w:rPr>
                <w:rFonts w:ascii="Times New Roman" w:eastAsia="Times New Roman" w:hAnsi="Times New Roman" w:cs="Times New Roman"/>
                <w:sz w:val="20"/>
                <w:szCs w:val="20"/>
              </w:rPr>
            </w:pPr>
          </w:p>
        </w:tc>
        <w:tc>
          <w:tcPr>
            <w:tcW w:w="210" w:type="dxa"/>
            <w:vAlign w:val="center"/>
            <w:hideMark/>
          </w:tcPr>
          <w:p w:rsidR="0019135D" w:rsidRDefault="0019135D">
            <w:pPr>
              <w:rPr>
                <w:rFonts w:ascii="Times New Roman" w:eastAsia="Times New Roman" w:hAnsi="Times New Roman" w:cs="Times New Roman"/>
                <w:sz w:val="20"/>
                <w:szCs w:val="20"/>
              </w:rPr>
            </w:pPr>
          </w:p>
        </w:tc>
        <w:tc>
          <w:tcPr>
            <w:tcW w:w="1140" w:type="dxa"/>
            <w:vAlign w:val="center"/>
            <w:hideMark/>
          </w:tcPr>
          <w:p w:rsidR="0019135D" w:rsidRDefault="0019135D">
            <w:pPr>
              <w:rPr>
                <w:rFonts w:ascii="Times New Roman" w:eastAsia="Times New Roman" w:hAnsi="Times New Roman" w:cs="Times New Roman"/>
                <w:sz w:val="20"/>
                <w:szCs w:val="20"/>
              </w:rPr>
            </w:pPr>
          </w:p>
        </w:tc>
        <w:tc>
          <w:tcPr>
            <w:tcW w:w="360" w:type="dxa"/>
            <w:vAlign w:val="center"/>
            <w:hideMark/>
          </w:tcPr>
          <w:p w:rsidR="0019135D" w:rsidRDefault="0019135D">
            <w:pPr>
              <w:rPr>
                <w:rFonts w:ascii="Times New Roman" w:eastAsia="Times New Roman" w:hAnsi="Times New Roman" w:cs="Times New Roman"/>
                <w:sz w:val="20"/>
                <w:szCs w:val="20"/>
              </w:rPr>
            </w:pPr>
          </w:p>
        </w:tc>
        <w:tc>
          <w:tcPr>
            <w:tcW w:w="1260" w:type="dxa"/>
            <w:vAlign w:val="center"/>
            <w:hideMark/>
          </w:tcPr>
          <w:p w:rsidR="0019135D" w:rsidRDefault="0019135D">
            <w:pPr>
              <w:rPr>
                <w:rFonts w:ascii="Times New Roman" w:eastAsia="Times New Roman" w:hAnsi="Times New Roman" w:cs="Times New Roman"/>
                <w:sz w:val="20"/>
                <w:szCs w:val="20"/>
              </w:rPr>
            </w:pPr>
          </w:p>
        </w:tc>
      </w:tr>
    </w:tbl>
    <w:p w:rsidR="0019135D" w:rsidRDefault="0019135D" w:rsidP="0019135D"/>
    <w:p w:rsidR="0019135D" w:rsidRDefault="0019135D" w:rsidP="0019135D"/>
    <w:p w:rsidR="0019135D" w:rsidRDefault="0019135D" w:rsidP="0019135D"/>
    <w:p w:rsidR="00F43D71" w:rsidRDefault="00F43D71"/>
    <w:sectPr w:rsidR="00F43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259E2"/>
    <w:multiLevelType w:val="hybridMultilevel"/>
    <w:tmpl w:val="9CA2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B10703"/>
    <w:multiLevelType w:val="hybridMultilevel"/>
    <w:tmpl w:val="3DD0A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5D"/>
    <w:rsid w:val="0019135D"/>
    <w:rsid w:val="002213E0"/>
    <w:rsid w:val="00D54605"/>
    <w:rsid w:val="00F4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CF4BC-0576-4F3A-A692-7B7A44D4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3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35D"/>
    <w:rPr>
      <w:color w:val="0563C1"/>
      <w:u w:val="single"/>
    </w:rPr>
  </w:style>
  <w:style w:type="paragraph" w:styleId="ListParagraph">
    <w:name w:val="List Paragraph"/>
    <w:basedOn w:val="Normal"/>
    <w:uiPriority w:val="34"/>
    <w:qFormat/>
    <w:rsid w:val="0019135D"/>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2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DGPWorkforceInitiatives@esd.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pc.wa.gov/adm/grants/WIOA-contracts" TargetMode="External"/><Relationship Id="rId5" Type="http://schemas.openxmlformats.org/officeDocument/2006/relationships/hyperlink" Target="mailto:ESDGPWorkforceInitiatives@esd.w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633</Words>
  <Characters>3612</Characters>
  <Application>Microsoft Office Word</Application>
  <DocSecurity>0</DocSecurity>
  <Lines>30</Lines>
  <Paragraphs>8</Paragraphs>
  <ScaleCrop>false</ScaleCrop>
  <Company>ESD - State Of Washington</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 Erica (ESD)</dc:creator>
  <cp:keywords/>
  <dc:description/>
  <cp:lastModifiedBy>Maki, Erica (ESD)</cp:lastModifiedBy>
  <cp:revision>3</cp:revision>
  <dcterms:created xsi:type="dcterms:W3CDTF">2017-07-20T20:08:00Z</dcterms:created>
  <dcterms:modified xsi:type="dcterms:W3CDTF">2017-07-20T20:16:00Z</dcterms:modified>
</cp:coreProperties>
</file>